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09dc" w14:textId="0720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Восточно-Казахстанского областного акимата от 25 апреля 2008 года № 560 "Об утверждении Государственного списка памятников истории и культуры местного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16 октября 2015 года № 276. Зарегистрировано Департаментом юстиции Восточно-Казахстанской области 19 ноября 2015 года N 4236. Утратило силу - постановлением Восточно-Казахстанского областного акимата от 12 января 2021 года № 4</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постановлением</w:t>
      </w:r>
      <w:r>
        <w:rPr>
          <w:rFonts w:ascii="Times New Roman"/>
          <w:b w:val="false"/>
          <w:i w:val="false"/>
          <w:color w:val="ff0000"/>
          <w:sz w:val="28"/>
        </w:rPr>
        <w:t xml:space="preserve"> Восточно-Казахстанского областного акимата от 12.01.2021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подпунктом 18)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2 июля 1992 года "Об охране и использовании объектов историко-культурного наследия",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30 марта 2015 года № 118 "Об утверждении Правил выявления, учета, придания и лишения статуса памятников истории и культуры" (зарегистрированным в Реестре государственной регистрации нормативных правовых актов за номером 10992), заключениями историко-культурной экспертизы о лишении объектов историко-культурного наследия статуса памятников местного значения,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Государственного списка памятников истории и культуры местного значения" от 25 апреля 2008 года № 560 (зарегистрированное в Реестре государственной регистрации нормативных правовых актов за номером 2484, опубликованное в газетах "Дидар" от 19 июня 2008 года № 80-81 (15990), "Рудный Алтай" от 19 июня 2008 года № 92-93 (18526)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Государственном </w:t>
      </w:r>
      <w:r>
        <w:rPr>
          <w:rFonts w:ascii="Times New Roman"/>
          <w:b w:val="false"/>
          <w:i w:val="false"/>
          <w:color w:val="000000"/>
          <w:sz w:val="28"/>
        </w:rPr>
        <w:t>списке</w:t>
      </w:r>
      <w:r>
        <w:rPr>
          <w:rFonts w:ascii="Times New Roman"/>
          <w:b w:val="false"/>
          <w:i w:val="false"/>
          <w:color w:val="000000"/>
          <w:sz w:val="28"/>
        </w:rPr>
        <w:t xml:space="preserve"> памятников истории и культуры местного значения Восточно-Казахстанской области, утвержденном указанным постановлением: </w:t>
      </w:r>
      <w:r>
        <w:br/>
      </w:r>
      <w:r>
        <w:rPr>
          <w:rFonts w:ascii="Times New Roman"/>
          <w:b w:val="false"/>
          <w:i w:val="false"/>
          <w:color w:val="000000"/>
          <w:sz w:val="28"/>
        </w:rPr>
        <w:t xml:space="preserve">
      </w:t>
      </w:r>
      <w:r>
        <w:rPr>
          <w:rFonts w:ascii="Times New Roman"/>
          <w:b w:val="false"/>
          <w:i w:val="false"/>
          <w:color w:val="000000"/>
          <w:sz w:val="28"/>
        </w:rPr>
        <w:t xml:space="preserve">лишить статуса памятников истории и культуры местного значения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пункты 62, 194, 257, 259, 283, 290, 422, 466, 470, 474, 529, 534, 539, 553, 556, 572 на государственном языке, 62, 194, 258, 260, 284, 291, 423, 467, 471, 475, 529, 534, 539, 553, 556, 572 на русском языке исключить.</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 Восточно-Казахстанского</w:t>
            </w:r>
            <w:r>
              <w:br/>
            </w:r>
            <w:r>
              <w:rPr>
                <w:rFonts w:ascii="Times New Roman"/>
                <w:b w:val="false"/>
                <w:i w:val="false"/>
                <w:color w:val="000000"/>
                <w:sz w:val="20"/>
              </w:rPr>
              <w:t xml:space="preserve"> областного акимата</w:t>
            </w:r>
            <w:r>
              <w:br/>
            </w:r>
            <w:r>
              <w:rPr>
                <w:rFonts w:ascii="Times New Roman"/>
                <w:b w:val="false"/>
                <w:i w:val="false"/>
                <w:color w:val="000000"/>
                <w:sz w:val="20"/>
              </w:rPr>
              <w:t xml:space="preserve"> от "16" октября 2015 года</w:t>
            </w:r>
            <w:r>
              <w:br/>
            </w:r>
            <w:r>
              <w:rPr>
                <w:rFonts w:ascii="Times New Roman"/>
                <w:b w:val="false"/>
                <w:i w:val="false"/>
                <w:color w:val="000000"/>
                <w:sz w:val="20"/>
              </w:rPr>
              <w:t xml:space="preserve"> № 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7480"/>
        <w:gridCol w:w="877"/>
        <w:gridCol w:w="258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p>
          <w:bookmarkEnd w:id="1"/>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памятника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1</w:t>
            </w:r>
          </w:p>
          <w:bookmarkEnd w:id="2"/>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город Усть-Каменогорск</w:t>
            </w:r>
          </w:p>
          <w:bookmarkEnd w:id="3"/>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1</w:t>
            </w:r>
          </w:p>
          <w:bookmarkEnd w:id="4"/>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Шиляева М., предпринимателя, дом по специальному проекту </w:t>
            </w:r>
            <w:r>
              <w:br/>
            </w:r>
            <w:r>
              <w:rPr>
                <w:rFonts w:ascii="Times New Roman"/>
                <w:b w:val="false"/>
                <w:i w:val="false"/>
                <w:color w:val="000000"/>
                <w:sz w:val="20"/>
              </w:rPr>
              <w:t>М. Шиляева 1904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Горького, 68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2</w:t>
            </w:r>
          </w:p>
          <w:bookmarkEnd w:id="5"/>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в котором жил писатель П.П. Бажов начало XX века</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"Жастар" (бывший </w:t>
            </w:r>
            <w:r>
              <w:br/>
            </w:r>
            <w:r>
              <w:rPr>
                <w:rFonts w:ascii="Times New Roman"/>
                <w:b w:val="false"/>
                <w:i w:val="false"/>
                <w:color w:val="000000"/>
                <w:sz w:val="20"/>
              </w:rPr>
              <w:t>
имени Кирова)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3</w:t>
            </w:r>
          </w:p>
          <w:bookmarkEnd w:id="6"/>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Бруснецова К.Н. могила, 1936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Ушановское городское кладбище по трассе в село Степное</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4</w:t>
            </w:r>
          </w:p>
          <w:bookmarkEnd w:id="7"/>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Манапова И.И. могила 1919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Ушановское городское кладбище по трассе в село Степное</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5</w:t>
            </w:r>
          </w:p>
          <w:bookmarkEnd w:id="8"/>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Купеческий дом, рубеж XIX-XX веков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 61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6</w:t>
            </w:r>
          </w:p>
          <w:bookmarkEnd w:id="9"/>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баня 50 годы ХХ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w:t>
            </w:r>
            <w:r>
              <w:br/>
            </w:r>
            <w:r>
              <w:rPr>
                <w:rFonts w:ascii="Times New Roman"/>
                <w:b w:val="false"/>
                <w:i w:val="false"/>
                <w:color w:val="000000"/>
                <w:sz w:val="20"/>
              </w:rPr>
              <w:t xml:space="preserve">
Белинского, 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город Семей</w:t>
            </w:r>
          </w:p>
          <w:bookmarkEnd w:id="10"/>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7</w:t>
            </w:r>
          </w:p>
          <w:bookmarkEnd w:id="11"/>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 Банк" здание (бывшее училище культуры имени Абая), вторая половина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Ибраева,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Бескарагайский район</w:t>
            </w:r>
          </w:p>
          <w:bookmarkEnd w:id="12"/>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8</w:t>
            </w:r>
          </w:p>
          <w:bookmarkEnd w:id="13"/>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 Николая православный сельский храм, 1900-1901 годы</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окраина села Долонь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Жарминский район</w:t>
            </w:r>
          </w:p>
          <w:bookmarkEnd w:id="14"/>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9</w:t>
            </w:r>
          </w:p>
          <w:bookmarkEnd w:id="15"/>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православный сельский храм конец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Катон-Карагайский район</w:t>
            </w:r>
          </w:p>
          <w:bookmarkEnd w:id="16"/>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10</w:t>
            </w:r>
          </w:p>
          <w:bookmarkEnd w:id="17"/>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Покровского православного сельского храма руины (бывшая школа, где учился Рыков, член военсовета Юго-Западного фронта) конец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Катон-Карагай (район станицы Алтайская)</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11</w:t>
            </w:r>
          </w:p>
          <w:bookmarkEnd w:id="18"/>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где работал учителем С. Торайгыров, 1907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Чингистай, юго-восточная окраина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Кокпектинский район</w:t>
            </w:r>
          </w:p>
          <w:bookmarkEnd w:id="19"/>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12</w:t>
            </w:r>
          </w:p>
          <w:bookmarkEnd w:id="20"/>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 Николая православного сельского храма руины, конец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Большая Буконь</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13</w:t>
            </w:r>
          </w:p>
          <w:bookmarkEnd w:id="21"/>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миссионерской школы конец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Преображенка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Тарбагатайский район</w:t>
            </w:r>
          </w:p>
          <w:bookmarkEnd w:id="22"/>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14</w:t>
            </w:r>
          </w:p>
          <w:bookmarkEnd w:id="23"/>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Андамас мечеть середина конец XIX века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Кызыл-Жулдыз, в центре села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15</w:t>
            </w:r>
          </w:p>
          <w:bookmarkEnd w:id="24"/>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 бюст 1985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перед зданием школы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16</w:t>
            </w:r>
          </w:p>
          <w:bookmarkEnd w:id="25"/>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Лучко К., пограничнику, памятник 1930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градостроительства и архитектуры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Манырак, </w:t>
            </w:r>
            <w:r>
              <w:br/>
            </w:r>
            <w:r>
              <w:rPr>
                <w:rFonts w:ascii="Times New Roman"/>
                <w:b w:val="false"/>
                <w:i w:val="false"/>
                <w:color w:val="000000"/>
                <w:sz w:val="20"/>
              </w:rPr>
              <w:t>
в центре села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