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648e" w14:textId="8946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Шардаринского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Шардаринского района Южно-Казахстанской области от 22 января 2015 года № 29. Зарегистрировано Департаментом юстиции Южно-Казахстанской области 20 февраля 2015 года № 3048. Утратило силу постановлением акимата Шардаринского района Южно-Казахстанской области от 7 июня 2016 года № 241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Шардаринского района Южно-Казахстанской области от 07.06.2016 № 241.</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Шардаринского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Шардаринского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Шардаринского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Шардаринского района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Шардаринского района.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руководителя аппарата акима района Анашбекова 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Айтуреев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Шардаринского района</w:t>
            </w:r>
            <w:r>
              <w:br/>
            </w:r>
            <w:r>
              <w:rPr>
                <w:rFonts w:ascii="Times New Roman"/>
                <w:b w:val="false"/>
                <w:i w:val="false"/>
                <w:color w:val="000000"/>
                <w:sz w:val="20"/>
              </w:rPr>
              <w:t>от 22 января 2015 года № 29</w:t>
            </w:r>
          </w:p>
        </w:tc>
      </w:tr>
    </w:tbl>
    <w:bookmarkStart w:name="z7" w:id="0"/>
    <w:p>
      <w:pPr>
        <w:spacing w:after="0"/>
        <w:ind w:left="0"/>
        <w:jc w:val="left"/>
      </w:pPr>
      <w:r>
        <w:rPr>
          <w:rFonts w:ascii="Times New Roman"/>
          <w:b/>
          <w:i w:val="false"/>
          <w:color w:val="000000"/>
        </w:rPr>
        <w:t xml:space="preserve"> Регламент акимата Шардаринского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Шардаринского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района (далее - аким)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Руководитель аппарата акима района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города, отделов и других государственных органов и организаций, учреждений, при подготовке документов, в соответсвии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7.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 </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9.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 xml:space="preserve">10. Решение об исключении запланированного вопроса из перечень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 </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12.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13.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14.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15.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16.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17.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18.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20.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27 ноября 2000 года "Об административных процедурах"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предоставляются на государственном и русском языках, согласованные с заинтересованными органами, подписанные первыми руководителями или лицами их заменяющими.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w:t>
      </w:r>
      <w:r>
        <w:br/>
      </w:r>
      <w:r>
        <w:rPr>
          <w:rFonts w:ascii="Times New Roman"/>
          <w:b w:val="false"/>
          <w:i w:val="false"/>
          <w:color w:val="000000"/>
          <w:sz w:val="28"/>
        </w:rPr>
        <w:t>
      При устранении разногласий соответсвующий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21.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22.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23.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24.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25.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26.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27.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а также юристом либо лицом, исполняющим его обязанности (в случае его наличия)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28.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29.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w:t>
      </w:r>
      <w:r>
        <w:rPr>
          <w:rFonts w:ascii="Times New Roman"/>
          <w:b w:val="false"/>
          <w:i w:val="false"/>
          <w:color w:val="000000"/>
          <w:sz w:val="28"/>
        </w:rPr>
        <w:t>30.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 xml:space="preserve">. </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31.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32.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33.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34.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35.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отделом документационного обьеспечения аппарата акима.</w:t>
      </w:r>
      <w:r>
        <w:br/>
      </w:r>
      <w:r>
        <w:rPr>
          <w:rFonts w:ascii="Times New Roman"/>
          <w:b w:val="false"/>
          <w:i w:val="false"/>
          <w:color w:val="000000"/>
          <w:sz w:val="28"/>
        </w:rPr>
        <w:t>
      </w:t>
      </w:r>
      <w:r>
        <w:rPr>
          <w:rFonts w:ascii="Times New Roman"/>
          <w:b w:val="false"/>
          <w:i w:val="false"/>
          <w:color w:val="000000"/>
          <w:sz w:val="28"/>
        </w:rPr>
        <w:t>36. Нормативные правовые постановления акимата и нормативные правовые решения за исключением актов, содержащих государственные секреты, подлежат государственной регистрации в территориальных органах Министерства юстиции Республики Казахстан и официальному опубликованию на интернет-ресурсе акимата Шардаринского района, а также в периодических печатных изданиях, распространяемых на территории района, в порядке, определяемом законодательством.</w:t>
      </w:r>
      <w:r>
        <w:br/>
      </w:r>
      <w:r>
        <w:rPr>
          <w:rFonts w:ascii="Times New Roman"/>
          <w:b w:val="false"/>
          <w:i w:val="false"/>
          <w:color w:val="000000"/>
          <w:sz w:val="28"/>
        </w:rPr>
        <w:t>
      </w:t>
      </w:r>
      <w:r>
        <w:rPr>
          <w:rFonts w:ascii="Times New Roman"/>
          <w:b w:val="false"/>
          <w:i w:val="false"/>
          <w:color w:val="000000"/>
          <w:sz w:val="28"/>
        </w:rPr>
        <w:t>37. Направление актов для публикации осуществляется юридическим отделом аппарата акима.</w:t>
      </w:r>
      <w:r>
        <w:br/>
      </w:r>
      <w:r>
        <w:rPr>
          <w:rFonts w:ascii="Times New Roman"/>
          <w:b w:val="false"/>
          <w:i w:val="false"/>
          <w:color w:val="000000"/>
          <w:sz w:val="28"/>
        </w:rPr>
        <w:t>
      </w:t>
      </w:r>
      <w:r>
        <w:rPr>
          <w:rFonts w:ascii="Times New Roman"/>
          <w:b w:val="false"/>
          <w:i w:val="false"/>
          <w:color w:val="000000"/>
          <w:sz w:val="28"/>
        </w:rPr>
        <w:t>38.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установленном законодательстве.</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4-1. Проведение правового мониторинга нормативных правовых актов</w:t>
      </w:r>
    </w:p>
    <w:bookmarkEnd w:id="4"/>
    <w:p>
      <w:pPr>
        <w:spacing w:after="0"/>
        <w:ind w:left="0"/>
        <w:jc w:val="left"/>
      </w:pPr>
      <w:r>
        <w:rPr>
          <w:rFonts w:ascii="Times New Roman"/>
          <w:b w:val="false"/>
          <w:i w:val="false"/>
          <w:color w:val="ff0000"/>
          <w:sz w:val="28"/>
        </w:rPr>
        <w:t xml:space="preserve">      Сноска. Регламент дополнен разделом 4-1 в соответствии с постановлением акимата Шардаринского района Южно-Казахстанской области от 23.02.2016 </w:t>
      </w:r>
      <w:r>
        <w:rPr>
          <w:rFonts w:ascii="Times New Roman"/>
          <w:b w:val="false"/>
          <w:i w:val="false"/>
          <w:color w:val="ff0000"/>
          <w:sz w:val="28"/>
        </w:rPr>
        <w:t>№ 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38-1. Правовой мониторинг проводится аппаратом, районными исполнительными органами, акимами городов, сельского округа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w:t>
      </w:r>
      <w:r>
        <w:rPr>
          <w:rFonts w:ascii="Times New Roman"/>
          <w:b w:val="false"/>
          <w:i w:val="false"/>
          <w:color w:val="000000"/>
          <w:sz w:val="28"/>
        </w:rPr>
        <w:t>38-2.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w:t>
      </w:r>
      <w:r>
        <w:rPr>
          <w:rFonts w:ascii="Times New Roman"/>
          <w:b w:val="false"/>
          <w:i w:val="false"/>
          <w:color w:val="000000"/>
          <w:sz w:val="28"/>
        </w:rPr>
        <w:t>38-3.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w:t>
      </w:r>
      <w:r>
        <w:rPr>
          <w:rFonts w:ascii="Times New Roman"/>
          <w:b w:val="false"/>
          <w:i w:val="false"/>
          <w:color w:val="000000"/>
          <w:sz w:val="28"/>
        </w:rPr>
        <w:t>38-4.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w:t>
      </w:r>
      <w:r>
        <w:rPr>
          <w:rFonts w:ascii="Times New Roman"/>
          <w:b w:val="false"/>
          <w:i w:val="false"/>
          <w:color w:val="000000"/>
          <w:sz w:val="28"/>
        </w:rPr>
        <w:t>38-5.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38-6.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юридическим отделом аппарата.</w:t>
      </w:r>
      <w:r>
        <w:br/>
      </w:r>
      <w:r>
        <w:rPr>
          <w:rFonts w:ascii="Times New Roman"/>
          <w:b w:val="false"/>
          <w:i w:val="false"/>
          <w:color w:val="000000"/>
          <w:sz w:val="28"/>
        </w:rPr>
        <w:t>
      </w:t>
      </w:r>
      <w:r>
        <w:rPr>
          <w:rFonts w:ascii="Times New Roman"/>
          <w:b w:val="false"/>
          <w:i w:val="false"/>
          <w:color w:val="000000"/>
          <w:sz w:val="28"/>
        </w:rPr>
        <w:t>38-7. Приказом руководителя аппарата акима района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соответствующими исполнительными органами совместно с соответствующим отделом аппарата.</w:t>
      </w:r>
      <w:r>
        <w:br/>
      </w:r>
      <w:r>
        <w:rPr>
          <w:rFonts w:ascii="Times New Roman"/>
          <w:b w:val="false"/>
          <w:i w:val="false"/>
          <w:color w:val="000000"/>
          <w:sz w:val="28"/>
        </w:rPr>
        <w:t>
      </w:t>
      </w:r>
      <w:r>
        <w:rPr>
          <w:rFonts w:ascii="Times New Roman"/>
          <w:b w:val="false"/>
          <w:i w:val="false"/>
          <w:color w:val="000000"/>
          <w:sz w:val="28"/>
        </w:rPr>
        <w:t xml:space="preserve">38-8.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38-9. До первого числа последнего месяца полугодия (до 1 июня и 1 декабря) исполнительные органы представляют в юридический отдел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38-10. Юридический отдел аппарата анализирует полученную информацию и предложения и совместно с исполнительными органами принимает меры,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w:t>
      </w:r>
      <w:r>
        <w:rPr>
          <w:rFonts w:ascii="Times New Roman"/>
          <w:b w:val="false"/>
          <w:i w:val="false"/>
          <w:color w:val="000000"/>
          <w:sz w:val="28"/>
        </w:rPr>
        <w:t>38-11. Для обеспечения полноты проведения правового мониторинга нормативных правовых актов, юридический отдел аппарата ежеквартально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w:t>
      </w:r>
      <w:r>
        <w:rPr>
          <w:rFonts w:ascii="Times New Roman"/>
          <w:b w:val="false"/>
          <w:i w:val="false"/>
          <w:color w:val="000000"/>
          <w:sz w:val="28"/>
        </w:rPr>
        <w:t xml:space="preserve">38-12. По итогам проведенной работы юридический отдел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января 2001 года № 168 "Об устверждении некоторых инструкций",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40. На контроль берутся законодательные акты, акты и поручения Президента Республики, Правительства, Премьер-Министра Республики, его заместителей, оперативные поручения Премьер-Министра; акты и поручения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41. Ответственность за своевременное и качественное исполнение законодательных актов, актов и поручений Президента Республики Казахстан, Правительства, Премьер-Министра, его заместителей, оперативные поручения Премьер-Министра; акты и поручения акимата, акима и иные поручения государственных органов и должностных лиц в пределах своей компетенции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42. Исполнительный орган или отдел аппарата акима, ответственный за исполнение, в целях обеспечения своевременного и качественного исполнения документов, подготавливает:</w:t>
      </w:r>
      <w:r>
        <w:br/>
      </w:r>
      <w:r>
        <w:rPr>
          <w:rFonts w:ascii="Times New Roman"/>
          <w:b w:val="false"/>
          <w:i w:val="false"/>
          <w:color w:val="000000"/>
          <w:sz w:val="28"/>
        </w:rPr>
        <w:t>
      1) по протоколам и поручениям акима области, заместителей акима — служебную записку о ходе исполнения протокольных поручений на имя акима обалсти, его заместителей с предложениями о снятии с контроля или продлении срока.</w:t>
      </w:r>
      <w:r>
        <w:br/>
      </w:r>
      <w:r>
        <w:rPr>
          <w:rFonts w:ascii="Times New Roman"/>
          <w:b w:val="false"/>
          <w:i w:val="false"/>
          <w:color w:val="000000"/>
          <w:sz w:val="28"/>
        </w:rPr>
        <w:t>
      </w:t>
      </w:r>
      <w:r>
        <w:rPr>
          <w:rFonts w:ascii="Times New Roman"/>
          <w:b w:val="false"/>
          <w:i w:val="false"/>
          <w:color w:val="000000"/>
          <w:sz w:val="28"/>
        </w:rPr>
        <w:t>43. При установлении некачественного исполнения или неисполнения исполнительным органом или отделом аппарата акима, ответственным за исполнения документа, отдел документационного обеспечения совместно с соответствующим отделом аппарата акима города готовит служебную записку в адрес должностного лица, давшего поручение.</w:t>
      </w:r>
      <w:r>
        <w:br/>
      </w:r>
      <w:r>
        <w:rPr>
          <w:rFonts w:ascii="Times New Roman"/>
          <w:b w:val="false"/>
          <w:i w:val="false"/>
          <w:color w:val="000000"/>
          <w:sz w:val="28"/>
        </w:rPr>
        <w:t>
      В записке указывается:</w:t>
      </w:r>
      <w:r>
        <w:br/>
      </w:r>
      <w:r>
        <w:rPr>
          <w:rFonts w:ascii="Times New Roman"/>
          <w:b w:val="false"/>
          <w:i w:val="false"/>
          <w:color w:val="000000"/>
          <w:sz w:val="28"/>
        </w:rPr>
        <w:t>
      наименование документа (протокол, постановление, распоряжение и т.д.), содержащего поручение, ссылка на номер, дату документа и пункт поручения;</w:t>
      </w:r>
      <w:r>
        <w:br/>
      </w:r>
      <w:r>
        <w:rPr>
          <w:rFonts w:ascii="Times New Roman"/>
          <w:b w:val="false"/>
          <w:i w:val="false"/>
          <w:color w:val="000000"/>
          <w:sz w:val="28"/>
        </w:rPr>
        <w:t>
      ответственный исполнитель, соисполнители;</w:t>
      </w:r>
      <w:r>
        <w:br/>
      </w:r>
      <w:r>
        <w:rPr>
          <w:rFonts w:ascii="Times New Roman"/>
          <w:b w:val="false"/>
          <w:i w:val="false"/>
          <w:color w:val="000000"/>
          <w:sz w:val="28"/>
        </w:rPr>
        <w:t>
      первоначальный срок исполения;</w:t>
      </w:r>
      <w:r>
        <w:br/>
      </w:r>
      <w:r>
        <w:rPr>
          <w:rFonts w:ascii="Times New Roman"/>
          <w:b w:val="false"/>
          <w:i w:val="false"/>
          <w:color w:val="000000"/>
          <w:sz w:val="28"/>
        </w:rPr>
        <w:t>
      даты продленных сроков исполнения (если они имеются);</w:t>
      </w:r>
      <w:r>
        <w:br/>
      </w:r>
      <w:r>
        <w:rPr>
          <w:rFonts w:ascii="Times New Roman"/>
          <w:b w:val="false"/>
          <w:i w:val="false"/>
          <w:color w:val="000000"/>
          <w:sz w:val="28"/>
        </w:rPr>
        <w:t>
      оценка по результатам исполнения поручения с конкретными формулировками: "выполнено", "выполнено частично", "не выполнено";</w:t>
      </w:r>
      <w:r>
        <w:br/>
      </w:r>
      <w:r>
        <w:rPr>
          <w:rFonts w:ascii="Times New Roman"/>
          <w:b w:val="false"/>
          <w:i w:val="false"/>
          <w:color w:val="000000"/>
          <w:sz w:val="28"/>
        </w:rPr>
        <w:t>
      предложение о продлении срока исполнения или установлении нового срока исполнения;</w:t>
      </w:r>
      <w:r>
        <w:br/>
      </w:r>
      <w:r>
        <w:rPr>
          <w:rFonts w:ascii="Times New Roman"/>
          <w:b w:val="false"/>
          <w:i w:val="false"/>
          <w:color w:val="000000"/>
          <w:sz w:val="28"/>
        </w:rPr>
        <w:t>
      в случае повторного продления срока исполнения поручения, предложение о принятии мер дисциплинарного характера в отношении ответственного государственного служащего.</w:t>
      </w:r>
      <w:r>
        <w:br/>
      </w:r>
      <w:r>
        <w:rPr>
          <w:rFonts w:ascii="Times New Roman"/>
          <w:b w:val="false"/>
          <w:i w:val="false"/>
          <w:color w:val="000000"/>
          <w:sz w:val="28"/>
        </w:rPr>
        <w:t>
      </w:t>
      </w:r>
      <w:r>
        <w:rPr>
          <w:rFonts w:ascii="Times New Roman"/>
          <w:b w:val="false"/>
          <w:i w:val="false"/>
          <w:color w:val="000000"/>
          <w:sz w:val="28"/>
        </w:rPr>
        <w:t>44. Оперативные поручения Премьер – Министра исполняются не более чем в двухнедельный срок со дня поступления поручения, если иное не установлено Премьер – Министром.</w:t>
      </w:r>
      <w:r>
        <w:br/>
      </w:r>
      <w:r>
        <w:rPr>
          <w:rFonts w:ascii="Times New Roman"/>
          <w:b w:val="false"/>
          <w:i w:val="false"/>
          <w:color w:val="000000"/>
          <w:sz w:val="28"/>
        </w:rPr>
        <w:t>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45.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обязанности), должен сообщить о причинах задержки и в установленном порядке ходотайствовать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За несвоевременное исполнение законодательных актов, актов и поручений Президента Республики, Правительства, Премьер – Министра Ресбулики, его заместителей, оперативных поручений Премьер – Министра; актов и поручений акимата, акима, несут ответственность как руководитель исполнительного органа допустивший срыв срока, так и отдел аппарата, осуществляющий координацию исполнения данного поручения.</w:t>
      </w:r>
      <w:r>
        <w:br/>
      </w:r>
      <w:r>
        <w:rPr>
          <w:rFonts w:ascii="Times New Roman"/>
          <w:b w:val="false"/>
          <w:i w:val="false"/>
          <w:color w:val="000000"/>
          <w:sz w:val="28"/>
        </w:rPr>
        <w:t>
      </w:t>
      </w:r>
      <w:r>
        <w:rPr>
          <w:rFonts w:ascii="Times New Roman"/>
          <w:b w:val="false"/>
          <w:i w:val="false"/>
          <w:color w:val="000000"/>
          <w:sz w:val="28"/>
        </w:rPr>
        <w:t>46. Обеспечение деятельности по контролю за сроками исполнения законадательных актов, актов и поручений Президента Республики, Правительства, Премьер – Министра Республики, акимата и акима осуществляются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47. Аппарат систематически информируя акима о ходе выполнения законодательных актов, актов и поручений Президента Республики, Правительства, Премьер – Министра Республики, акимата и акима,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48. Руководитель аппарата акима города ежемесячно докладывает о состоянии исполнительской дисциплины по исполнению поручений Главы государства, Правительства, поручений и оперативных поручений Премьер – Министра, поручений и заместителей акима на аппаратных совещаниях.</w:t>
      </w:r>
      <w:r>
        <w:br/>
      </w:r>
      <w:r>
        <w:rPr>
          <w:rFonts w:ascii="Times New Roman"/>
          <w:b w:val="false"/>
          <w:i w:val="false"/>
          <w:color w:val="000000"/>
          <w:sz w:val="28"/>
        </w:rPr>
        <w:t>
      </w:t>
      </w:r>
      <w:r>
        <w:rPr>
          <w:rFonts w:ascii="Times New Roman"/>
          <w:b w:val="false"/>
          <w:i w:val="false"/>
          <w:color w:val="000000"/>
          <w:sz w:val="28"/>
        </w:rPr>
        <w:t>49.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Казахстан, Правительства, Премьер – Министра, оперативных поручений Премьер – Министра, актов поручений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