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d60e" w14:textId="4afd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"Курмангазинский районный отдел предпринимательства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30 апреля 2015 года № 225. Зарегистрировано Департаментом юстиции Атырауской области 13 мая 2015 года № 3204. Утратило силу постановлением акимата Курмангазинского района от 22 июня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Курмангазинского района от 22.06.2016 №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"О мерах по разграничению полномочий между уровнями государственного управления Республики Казахстан"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Положение государственного учреждения "Курмангазинский районный отдел предпринимательства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Курмангазинского района от "30" апреля 2015 года № 225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"Курмангазинский районный отдел предпринимательства Атырауской области" – (далее – Отдел) является Государственным органом Республики Казахстан, осуществляющим руководство в сферах предпринимательства, торговли, инвестиций и внешнеэкономических связей, индустриально-инновационной политики на территории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индекс 060400, Атырауская область, Курмангазинский район, село Ганюшкино, улица Испуллаева, дом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"Курмангазинский районный отдел предпринимательства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Миссия: Отдел осуществляет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условии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реализацию государственной политики поддержки и развития 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создание и развитие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Определяет стратегию развития взаимоотношений местных исполнительных органов с объединениями субъектов частного предпринимательства 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государственную поддержку частного предпринимательства 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в установленном порядке письма, жалобы, предложения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в местный исполнительный орган области, города республиканского значения, столицы информацию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Ведет реестр туристских маршрутов и троп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со структурными подразделениями акимата Курмангазинского района, иными исполнительными органами, органами местного самоуправления, территориальными подразделениями центральных исполнительных органов, организациями и учреждениями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методических материалов и рекомендаций по вопросам, отнесенным к его компетенции, а также проведение инструктажа, семинаров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Запрос и получение в установленном порядке от исполнительных органов района, органов местного самоуправления, учреждений и организаций статистических и отчетных данных и других материалов и сведений, необходимых Отделу для осуществления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Участие в установленном порядке в разработке, рассмотрении и согласовании вопросов социально-экономического развития района,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информации о деятельности Отдела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Создание при необходимости, межведомственных комиссй, советов и экспертных груп;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Внесение в установленном порядке акиму области проектов постановлений, решений и распоряжений по вопросам, отнесенным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района представление интереса акимата района по вопросам, отнесенным к компетенции Отдела, в государственных органах, других хозяйствующих субъектах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выполнение 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Отчитывается о результатах своей деятельности перед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Курмангазинского района в соответствий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государственных служащих своего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меры, направленные на противодействие коррупции в Отделе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принимает решение поощрения, оказание материальной помощи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иные полномочия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