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d96f" w14:textId="4b4d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25 ноября 2015 года № 333-V. Зарегистрировано Департаментом юстиции Атырауской области 7 декабря 2015 года № 3381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Макатского районного маслихата Атырауской области от 06.08.2020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000000"/>
          <w:sz w:val="28"/>
        </w:rPr>
        <w:t>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000000"/>
          <w:sz w:val="28"/>
        </w:rPr>
        <w:t>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000000"/>
          <w:sz w:val="28"/>
        </w:rPr>
        <w:t>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октября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333-V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Макатского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Макатского районного маслихата Атырауской области от 09.02.2024 № </w:t>
      </w:r>
      <w:r>
        <w:rPr>
          <w:rFonts w:ascii="Times New Roman"/>
          <w:b w:val="false"/>
          <w:i w:val="false"/>
          <w:color w:val="000000"/>
          <w:sz w:val="28"/>
        </w:rPr>
        <w:t>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(пять) месячному расчетному показателю, ежемесячно на каждого ребенка с инвалидностью.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