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6e0a" w14:textId="6b96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Индерском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25 ноября 2015 года № 317-V. Зарегистрировано Департаментом юстиции Атырауской области 07 декабря 2015 года № 3379. Утратило силу решением Индерского районного маслихата Атырауской области от 28 мая 2024 года № 93-VIII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Индерского районного маслихата Атырауской области от 28.05.2024 № </w:t>
      </w:r>
      <w:r>
        <w:rPr>
          <w:rFonts w:ascii="Times New Roman"/>
          <w:b w:val="false"/>
          <w:i w:val="false"/>
          <w:color w:val="ff0000"/>
          <w:sz w:val="28"/>
        </w:rPr>
        <w:t>93-VIII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- в редакции решения Индерского районного маслихата Атырауской области от 16.01.2023 № </w:t>
      </w:r>
      <w:r>
        <w:rPr>
          <w:rFonts w:ascii="Times New Roman"/>
          <w:b w:val="false"/>
          <w:i w:val="false"/>
          <w:color w:val="000000"/>
          <w:sz w:val="28"/>
        </w:rPr>
        <w:t>173-VII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(зарегистрированный в реестре государственной регистрации нормативных правовых актов за № 11015) Индерский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Индерском районе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Индерского районного маслихата Атырауской области от 16.01.2023 № </w:t>
      </w:r>
      <w:r>
        <w:rPr>
          <w:rFonts w:ascii="Times New Roman"/>
          <w:b w:val="false"/>
          <w:i w:val="false"/>
          <w:color w:val="000000"/>
          <w:sz w:val="28"/>
        </w:rPr>
        <w:t>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 настоящего решения возложить на постоянную комиссию районного маслихата по вопросам социальной политики, образования, культуры, здравоохранения, по делам молодежи, правоохранения, депутатской этики (А.Доспаева).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ХХХIII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Насыров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25 ноября 2015 года № 317-V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25 ноября 2015 года № 317-V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Индерском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Индерского районного маслихата Атырауской области от 16.01.2023 № </w:t>
      </w:r>
      <w:r>
        <w:rPr>
          <w:rFonts w:ascii="Times New Roman"/>
          <w:b w:val="false"/>
          <w:i w:val="false"/>
          <w:color w:val="ff0000"/>
          <w:sz w:val="28"/>
        </w:rPr>
        <w:t>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Индерском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(пять) процентов.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"Индерский районный отдел занятости, социальных программ и регистрации актов гражданского состояния" (далее – уполномоченный орган).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за № 20498).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гражданам.".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"Государственная корпорация "Правительство для граждан" (далее – Государственная корпорация) или на веб-портал "электронного правительства",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