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ff93" w14:textId="51df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27 марта 2015 года №ХХХ-5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Кызылкогинского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24 июля 2015 года № XXXIII-4. Зарегистрировано Департаментом юстиции Атырауской области 3 августа 2015 года № 3270. Утратило силу решением Кызылкогинского районного маслихата Атырауской области от 13 декабря 2023 года № 10-6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13.12.2023 № </w:t>
      </w:r>
      <w:r>
        <w:rPr>
          <w:rFonts w:ascii="Times New Roman"/>
          <w:b w:val="false"/>
          <w:i w:val="false"/>
          <w:color w:val="ff0000"/>
          <w:sz w:val="28"/>
        </w:rPr>
        <w:t>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на основании решении от 17 июня 2015 года акима Мукурского сельского округа № 26, от 20 июля 2015 года акима Уильского сельского округа № 22, от 20 июля 2015 года акима Тасшагильского сельского округа № 18, от 20 июля 2015 года акима Жамбульского сельского округа № 7, от 20 июля 2015 года акима Кызылкогинского сельского округа № 6, от 20 июля 2015 года акима Жангельдинского сельского округа № 7, от 20 июля 2015 года акима Тайсойганского сельского округа № 9, от 21 июля 2015 года акима Сагизского сельского округа № 43, от 23 июля 2015 года акима Миялинского сельского округа № 59 и от 23 июля 2015 года акима Куздыгаринского сельского округа № 11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правила,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марта 2015 года № ХХХ-5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Кызылкогинского района" (зарегистрировано в реестре государственной регистрации нормативных правовых актов за № 3161, опубликовано 7 мая 2015 года в районной газете "Кызылкога")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приложений изложить в новой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Для участия в сходе местного сообщества на территории сельского округа на раздельном сходе количество представителей жителей села, улицы, многоквартирного жилого дома определяется в составе одного представителя из ста жителей (членов местного сообщества) от каждого села, улицы, многоквартирного жилого дома.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членов местного сообщества в пределах села, улицы, многоквартирного жилого дома не достигает сто жителей (членов местного сообщества), то избирается по одному представителю от каждого села, улицы, многоквартирного жилого дома."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решения возложить на постоянную комиссию (председатель К.Коданов) районного маслихата по вопросам соблюдения законодательства, правовой защите и депутатской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