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6345" w14:textId="924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20 ноября 2015 года № 332. Зарегистрировано Департаментом юстиции Атырауской области 03 декабря 2015 года № 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Махамбетского районного маслихата Атырауской области от 07.04.2023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с изменением, внесенным решением Махамбетского районного маслихата от 26.03.2021 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Махамбетского районного маслихата Атырауской области от 07.04.2023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Махамбетского районного маслихата от 07.04.2023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Махамбетского районного маслихата от 07.04.2023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Торбаева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Махамбетского районного маслихата Атырауской области от 07.04.2023 № </w:t>
      </w:r>
      <w:r>
        <w:rPr>
          <w:rFonts w:ascii="Times New Roman"/>
          <w:b w:val="false"/>
          <w:i w:val="false"/>
          <w:color w:val="ff0000"/>
          <w:sz w:val="28"/>
        </w:rPr>
        <w:t>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индивидальному учебному плану (далее – возмещение затрат на обучение) производится государственным учреждением "Отдел занятости и социальных программ Махамбетского района" на основании справки из учебного заведения, подтверждающей факт обучения ребенка с инвалидностью на дому.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Махамбетского районного маслихата Атырауской области от 12.03.2024 №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возмещении затрат на обучение предусмотрены пунктом девять приложения 3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