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6345" w14:textId="9246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ноября 2015 года № 332. Зарегистрировано Департаментом юстиции Атырауской области 03 декабря 2015 года № 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Махамбетского районного маслихата Атырауской области от 07.04.2023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с изменением, внесенным решением Махамбетского районного маслихата от 26.03.2021 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07.04.2023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Махамбетского районного маслихата от 07.04.2023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Махамбетского районного маслихата от 07.04.2023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Торбаева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Махамбетского районного маслихата Атырауской области от 07.04.2023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индивидальному учебному плану (далее – возмещение затрат на обучение) производится государственным учреждением "Отдел занятости и социальных программ Махамбетского района" на основании справки из учебного заведения, подтверждающей факт обучения ребенка с инвалидностью на дому.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12.03.2024 №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возмещении затрат на обучение предусмотрены пунктом девять приложения 3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