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aa6" w14:textId="939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ноября 2015 года № 308. Зарегистрировано Департаментом юстиции Атырауской области 10 декабря 2015 года № 3389.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Атырауского городского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городского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городского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19 октября 2015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19 октября 2015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Атырауского городского маслихата Атырауской области от 16.01.2023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Атырауского городского местного бюджета проживающим в городе Атырау,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3 (три) процентов.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Атырауского городского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"Атырауский городской отдел занятости, социальных программ и регистрации актов гражданского состояния" (далее – уполномоченный орган).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Атырауского городского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Атырауского городского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4-1 в соответствии с решением Атырауского городского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 один раз в квартал,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ежемесячно до 10 числа месяца, следующего за месяцем назначения.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