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2f5" w14:textId="4dc4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государственного учреждения "Управление по контролю за использованием и охраной земель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января 2015 года № 5. Зарегистрировано Департаментом юстиции Атырауской области 23 января 2015 года № 3096. Утратило силу постановлением акимата Атырауской области от 30 мая 2017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30.05.2017 №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 и решением Атырауского областного маслихата от 15 декабря 2014 года № 345-V "Об утверждении схемы управления Атырауской области"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государственное учреждение "Управление по контролю за использованием и охраной земель Атырауской области" (далее - Управление).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Дюсембаева Г.И – первого заместителя акима Атырауской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16 января 2015 года №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16 января 2015 года № 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контролю за использованием и охраной земель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Управление является государственным органом Республики Казахстан, осуществляющим государственный контроль за использованием и охраной земель на территории Атырауской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Управление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 – индекс 060005, Республика Казахстан, Атырауская область, город Атырау, проспект Азаттык, 96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10. Полное наименование государственного органа – государственное учреждение "Управление по контролю за использованием и охраной земель Атырауской области".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Управление осуществляется из областного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деятельность, приносящий доход, то доходы, полученные от такой деятельности, направляются в доход государственного бюджета.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Миссия Управления: охрана земель путем правовых, организационных, экономических, технологических и других мероприятий, направленных на охрану земли как части окружающей среды, рациональное использование земель, предотвращение необоснованного изъятия земель из сельскохозяйственного и лесохозяйственного оборота, а также на восстановление и повышение плодородия почв на территории Атырауской области.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 Управления состоят в обеспечении государственного контроля за соблюдением земельного законодательства Республики Казахстан государственными органами, физическими, юридическими и должностными лицами, выявлением и устранением нарушений законодательства Республики Казахстан, восстановлением нарушенных прав граждан и юридических лиц, соблюдением правил пользования земельными участками, правильности ведения земельного кадастра и землеустройства и выполнения мероприятий по рациональному использованию и охране земель.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соблюдение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недопущение самовольного занятия земельных участков;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соблюдение прав собственников земельных участков и землепользователей;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представление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проектирование, размещение и строительство жилых и производственных объектов, оказывающих влияние на состояние земель;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соблюдение установленных сроков рассмотрения заявлений (ходатайств) граждан о предоставлении им земельных участков;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сохранность межевых знаков;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своевременный возврат земель, предоставленных местными исполнительными органами во временное землепользование;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рекультивация нарушенных земель;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снятие, сохранение и использование плодородного слоя почвы при проведении работ, связанных с нарушением земель;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проектов землеустройства и других проектов по использованию и охране земель.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составлять протоколы (акты) о нарушениях земельного законодательства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выносить постановления об административном взыскании за нарушение земельного законодательства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получать от государственных органов статистическую информацию о состоянии земельного фонда;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своевременно принимать меры к нарушителям земельного законодательства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объективно готовить материалы проводимых проверок.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соблюдать законодательства Республики Казахстан, права и охраняемые законом интересы физических и юридических лиц;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осуществлять иные права и обязанности в соответствии с действующим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Управления назначается на должность и освобождается от должности акимом области.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Управления: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процессе реализации своих полномочий отчитывается акиму области и курирующему заместителю акима области;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Управление в государственных органах и иных организациях в пределах своей компетенции;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разработку стратегических и программных документов;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подписывает приказы;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регламент по вопросам организации своих полномочий и внутренного распорядка;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работу по борьбе с коррупцией;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организует, координирует и контролирует работу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исполняет поручения и акты акима и акимата области;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утверждает положения о структурных подразделениях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организует разработку проектов нормативных правовых и правовых актов в пределах компетенции;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обеспечивает соблюдение норм служебной этики;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реализует политику гендерного равенства;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утверждает график личного приема граждан и представителей юридических лиц;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полномочия, возложенные законодательством Республики Казахстан, настоящим Положением, акиматом области, акимом области, его заместителями и аппаратом акима области.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Управлением, относится к областной коммунальной собственности.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Управления осуществляются в соответствии с действующим законодательством.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