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168e" w14:textId="e85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Щербактинского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июня 2015 года № 219/61. Зарегистрировано Департаментом юстиции Павлодарской области 16 июля 2015 года № 4609. Утратило силу решением маслихата Щербактинского района Павлодарской области от 4 февраля 2020 года № 229/69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04.02.2020 № 229/69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в населенных пунктах Щербактинского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в населенных пунктах Щербактинского района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Александровского сельского округа, Щербактинского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Алексеевского сельского округа, Щербактинского района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6929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Галкинского сельского округа, Щербактинского района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803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Жылы-Булакского сельского округа, Щербактинского района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2136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Красиловского сельского округа, Щербактинского района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429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Орловского сельского округа, Щербактинского района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556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Сосновского сельского округа Щербактинского района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073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Сынтасовского сельского округа Щербактинского района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29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Татьяновского сельского округа Щербактинского района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946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Хмельницкого сельского округа Щербактинского района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327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Чигириновского сельского округа Щербактинского района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692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Шалдайского сельского округа Щербактинского района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18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с установлением границ ценовых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села Шарбакты Щербактинского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 № 219/61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>участки в селе Шарбакты и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Павлодарской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8"/>
        <w:gridCol w:w="1051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160, 161, 165, 166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059, 065, 066, 069, 076, 078, 079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057, 058, 062, 071, 076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сельский округ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139, 143, 147, 148, 149, 150, 153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140, 142, 146, 154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 Булакский сельский округ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018, 019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017, 020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001, 002, 006, 011, 012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044, 046, 052, 053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045, 051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083, 084, 091, 119, 120, 125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082, 090, 121, 126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029, 030, 031, 032, 034, 035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133, 134, 135, 137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175, 177, 178, 179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169, 172, 174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Шарбакты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095, 096, 097, 098, 099, 100, 101, 102, 103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094, 104, 105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