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a871" w14:textId="c8ea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развития семеноводства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апреля 2015 года № 129/4. Зарегистрировано Департаментом юстиции Павлодарской области 12 июня 2015 года № 4524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минимальные нормы приобретения (использования) под урожай 2015 года семян первой репродукции и гибридов первого поколения по зонам и в разрезе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"18"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2015 г №129/4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под урожай 2015 года семян</w:t>
      </w:r>
      <w:r>
        <w:br/>
      </w:r>
      <w:r>
        <w:rPr>
          <w:rFonts w:ascii="Times New Roman"/>
          <w:b/>
          <w:i w:val="false"/>
          <w:color w:val="000000"/>
        </w:rPr>
        <w:t>первой репродукции и гибридов первого поколения по зонами в разрезе культур: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а) в умеренно – засушливой зоне: Железинский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Иртышский и Качирский районы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7"/>
        <w:gridCol w:w="2381"/>
        <w:gridCol w:w="7362"/>
      </w:tblGrid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Раннеспелые гибриды кукурузы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сортовой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(гибридный)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б) в засушливой зоне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сельская зона города Павлодара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Актогайский, Баянаульский, Лебяжинский, Павлодарский, Успенский и Шербактинский районы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7"/>
        <w:gridCol w:w="2381"/>
        <w:gridCol w:w="7362"/>
      </w:tblGrid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Раннеспелые гибриды кукурузы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сортовой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(гибридный)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в) в сухой зоне: сельская зона города Аксу, сельская зона города Экибастуза и Майский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7"/>
        <w:gridCol w:w="2381"/>
        <w:gridCol w:w="7362"/>
      </w:tblGrid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Раннеспелые гибриды кукурузы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28,431*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Зернобобовые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сортовой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(гибридный)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10,53**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10,53**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 при расчете нормы учтен страховой фонд (30%);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с учетом того, что минимальный период выращивания многолетних злаковых трав – 10 лет, многолетних бобовых трав – 5 лет, требуется ежегодное сортообновление в размере 1/10 части (10%) для многолетних злаковых трав и 1/5 части (20%) для многолетних бобовых трав.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