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3905" w14:textId="3253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Федоровского района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22 декабря 2015 года № 372. Зарегистрировано Департаментом юстиции Костанайской области 30 декабря 2015 года № 6104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Утвердить районный бюджет Федоровского района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2974306,3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634285,9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13666,7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2324253,7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–3212612,0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6259,5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25033,5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18774,0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-244565,2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- 244565,2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решения маслихата Федоровского района Костанайской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Учесть, что в районном бюджете предусмотрено на 2016 год объем субвенций, передаваемых из областного бюджета в сумме 1275468,0 тысяч тенге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2-1. Учесть, что в бюджете района на 2016 год предусмотрены расходы на содержание стадиона "Атлет" в сумме 4026,0 тысяч тенге, за счет свободного остатка сложившегося на конец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2-1 в соответствии с решением маслихата Федоровского района Костанайской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2-2. Предусмотреть в бюджете района на 2016 год 500,0 тысяч тенге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2-2 в соответствии с решением маслихата Федоровского района Костанайской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2-3. Предусмотреть в бюджете района на 2016 год расходы на содержание коммунального государственного учреждения "Молодежный ресурсный центр Федоровского района" в сумме 4440,0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2-3 в соответствии с решением маслихата Федоровского района Костанайской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2-4. Учесть, что в бюджете района на 2016 год предусмотрены расходы на развитие городов и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на капитальный ремонт здания коммунального государственного учреждения "Банновская средняя школа" отдела образования акимата Федоровского района в сумме 11111,0 тысяч тенге, за счет свободного остатка сложившегося на конец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Кроме того, в бюджете района на 2017 год предусмотрены расходы за счет трансфертов на развитие городов и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на 2016-2017 годы из областного бюджета на капитальный ремонт здания коммунального государственного учреждения "Банновская средняя школа" отдела образования акимата Федоровского района в сумме 313656,0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2-4 в соответствии с решением маслихата Федоровского района Костанайской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решения маслихата Федоровского района Костанайской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2.5. Учесть на 2016 год нормативы распределения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облагаемых у источника выплаты, в бюджет района – 93,4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социальному налогу в бюджет района – 67,6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не облагаемых у источника выплаты, и по индивидуальному подоходному налогу с доходов иностранных граждан, не облагаемых у источника выплаты, путем зачисления 100,0 процентов в бюджеты районов и городов областного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2-5 в соответствии с решением маслихата Федоровского района Костанайской области от 12.08.2016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районном бюджете на 2016 год не предусмотрены объемы бюджетных изъятий из бюджета района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местного исполнительного органа на 2016 год в сумме 2000,0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5.Утвердить перечень бюджетных программ аппаратов акима поселка, села, сельского округа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программ, не подлежащих секвестру в процессе исполнения бюджета Федоровского района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распределение трансфертов органам местного самоуправления между селами, поселками, сельскими округами, городами районного значения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XVII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Федоровского района Костанайской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867"/>
        <w:gridCol w:w="1177"/>
        <w:gridCol w:w="1178"/>
        <w:gridCol w:w="5296"/>
        <w:gridCol w:w="28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деятельности организаций дошкольного воспитания и 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 –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-244565,2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– в редакции решения маслихата Федоровского района Костанайской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137"/>
        <w:gridCol w:w="733"/>
        <w:gridCol w:w="1137"/>
        <w:gridCol w:w="4780"/>
        <w:gridCol w:w="3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867"/>
        <w:gridCol w:w="1177"/>
        <w:gridCol w:w="1178"/>
        <w:gridCol w:w="5296"/>
        <w:gridCol w:w="28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деятельности организаций дошкольного воспитания и 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 – 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137"/>
        <w:gridCol w:w="733"/>
        <w:gridCol w:w="1137"/>
        <w:gridCol w:w="4780"/>
        <w:gridCol w:w="3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74"/>
        <w:gridCol w:w="1187"/>
        <w:gridCol w:w="1187"/>
        <w:gridCol w:w="5239"/>
        <w:gridCol w:w="29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(детей–сирот),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Дефицит, профицит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</w:t>
      </w:r>
      <w:r>
        <w:br/>
      </w:r>
      <w:r>
        <w:rPr>
          <w:rFonts w:ascii="Times New Roman"/>
          <w:b/>
          <w:i w:val="false"/>
          <w:color w:val="000000"/>
        </w:rPr>
        <w:t>села, сельского округа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660"/>
        <w:gridCol w:w="1392"/>
        <w:gridCol w:w="1392"/>
        <w:gridCol w:w="4792"/>
        <w:gridCol w:w="30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Воронежский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Косаральский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Костряковский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Коржинкольский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Новошумный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Чандакский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1317"/>
        <w:gridCol w:w="2777"/>
        <w:gridCol w:w="2777"/>
        <w:gridCol w:w="289"/>
        <w:gridCol w:w="30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между селами, поселками, сельскими округами, городами районного</w:t>
      </w:r>
      <w:r>
        <w:br/>
      </w:r>
      <w:r>
        <w:rPr>
          <w:rFonts w:ascii="Times New Roman"/>
          <w:b/>
          <w:i w:val="false"/>
          <w:color w:val="000000"/>
        </w:rPr>
        <w:t>значения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4"/>
        <w:gridCol w:w="1497"/>
        <w:gridCol w:w="7809"/>
      </w:tblGrid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Воронежский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Косаральский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Костряковский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Коржинкольский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Новошумный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Чандакский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