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539b" w14:textId="f065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 в сходе местного сообщества Петропавловского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282. Зарегистрировано Департаментом юстиции Костанайской области 27 апреля 2015 года № 5546.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Петропавлоского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Петропавловского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Петропавловского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 для</w:t>
      </w:r>
      <w:r>
        <w:br/>
      </w:r>
      <w:r>
        <w:rPr>
          <w:rFonts w:ascii="Times New Roman"/>
          <w:b/>
          <w:i w:val="false"/>
          <w:color w:val="000000"/>
        </w:rPr>
        <w:t>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Петропавловского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Белоглинка Петропавловского сельского округа Узункольского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Комендантское Петропавловского сельского округа Узункольского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Борок Петропавловского сельского округа Узункольского района Костанайской области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Петропавловского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Петропавловского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Петропавловского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Петропавловского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Петропавловского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Петропавловского сельского округа организуется акимом Петропавловского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Петропавловского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Петропавловского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Петропавловского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Петропавловского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Петропавловского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Петропавловского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