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e572" w14:textId="996e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по выбору видов отчуждения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10 апреля 2015 года № 96. Зарегистрировано Департаментом юстиции Костанайской области 14 мая 2015 года № 5599. Утратило силу постановлением акимата Карасуского района Костанайской области от 26 июля 2016 года № 204</w:t>
      </w:r>
    </w:p>
    <w:p>
      <w:pPr>
        <w:spacing w:after="0"/>
        <w:ind w:left="0"/>
        <w:jc w:val="left"/>
      </w:pPr>
      <w:r>
        <w:rPr>
          <w:rFonts w:ascii="Times New Roman"/>
          <w:b w:val="false"/>
          <w:i w:val="false"/>
          <w:color w:val="ff0000"/>
          <w:sz w:val="28"/>
        </w:rPr>
        <w:t xml:space="preserve">      Сноска. Утратило силу постановлением акимата Карасуского района Костанайской области от 26.07.2016 </w:t>
      </w:r>
      <w:r>
        <w:rPr>
          <w:rFonts w:ascii="Times New Roman"/>
          <w:b w:val="false"/>
          <w:i w:val="false"/>
          <w:color w:val="ff0000"/>
          <w:sz w:val="28"/>
        </w:rPr>
        <w:t>№ 204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акимат Карасуского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Определить критерии по выбору видов отчуждения коммунального имущества согласно</w:t>
      </w:r>
      <w:r>
        <w:rPr>
          <w:rFonts w:ascii="Times New Roman"/>
          <w:b w:val="false"/>
          <w:i w:val="false"/>
          <w:color w:val="000000"/>
          <w:sz w:val="28"/>
        </w:rPr>
        <w:t xml:space="preserve"> приложения</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10 апреля 2015 года № 96</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Критерии по выбору видов отчуждения коммунального имущества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9940"/>
        <w:gridCol w:w="1510"/>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отчуждения</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заинтересованности государства в дальнейшем контроле над объектом приватизации;</w:t>
            </w:r>
            <w:r>
              <w:br/>
            </w:r>
            <w:r>
              <w:rPr>
                <w:rFonts w:ascii="Times New Roman"/>
                <w:b w:val="false"/>
                <w:i w:val="false"/>
                <w:color w:val="000000"/>
                <w:sz w:val="20"/>
              </w:rPr>
              <w:t>
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реализации объекта приватизации по максимально возможной цене и привлечения широкого круга участников торгов;</w:t>
            </w:r>
            <w:r>
              <w:br/>
            </w:r>
            <w:r>
              <w:rPr>
                <w:rFonts w:ascii="Times New Roman"/>
                <w:b w:val="false"/>
                <w:i w:val="false"/>
                <w:color w:val="000000"/>
                <w:sz w:val="20"/>
              </w:rPr>
              <w:t>
реализации ценных бумаг, принадлежащих государству, при отсутствии заинтересованности государства в дальнейшем их контроле.</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торгов в форме аукциона</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необходимость реализации объекта приватизации по максимально возможной цене;</w:t>
            </w:r>
            <w:r>
              <w:br/>
            </w:r>
            <w:r>
              <w:rPr>
                <w:rFonts w:ascii="Times New Roman"/>
                <w:b w:val="false"/>
                <w:i w:val="false"/>
                <w:color w:val="000000"/>
                <w:sz w:val="20"/>
              </w:rPr>
              <w:t>
реализации ценных бумаг, принадлежащих государству,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торгов в форме коммерческого тендера</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сохранения на определенный период времени контроля государства за выполнением условий договора доверительного управления, имущественного найма (аренды) с правом последующего выкупа доверительным управляющим, нанимателем (арендатором).</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Прямая адресная продажа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