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5a46" w14:textId="3655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Карабалыкского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18 мая 2015 года № 122. Зарегистрировано Департаментом юстиции Костанайской области 22 июня 2015 года № 5676.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Карабалыкского района на 2015 год, финансируемых за счет целевых трансфертов из республиканского бюджета и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Тюлюбаева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Исмагулов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образования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Карабалыкского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С. Урманов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Карабалыкского района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"Боскольская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"Михайловская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лет- 4830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"Карабалыкская средняя школа № 1 имени Максима Горького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лет- 8600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"Рыбкинская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лет-1680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"Подгородская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лет-1680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-6636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6615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 Карабалыкского района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"Карабалыкская средняя школа № 1 имени Максима Горького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"Карабалыкская средняя школа имени Абая Кунанбаева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"Карабалыкская средняя школа № 3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"Бурлинская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"Боскольская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"Есенкольская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"Новостройская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"Ново-Троицкая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"Приреченская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"Славянская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"Смирновская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"Тогузакская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"Станционная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"Белоглиновская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"Надеждинская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"Примагнайская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"Сарыкольская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"Святославская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"Побединская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"Шадыксаевская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"Веселокутская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"Кособинская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"Лесная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"Целинная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"Аккудукская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"Ельшанская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"Веренская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"Октябрьская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"Боскольская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"Гурьяновская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"Урнекская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"Терентьевская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"Колосок"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