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61a1" w14:textId="a2b6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Клочково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408. Зарегистрировано Департаментом юстиции Костанайской области 22 января 2016 года № 6172.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Клочково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Клочково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Клочково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Клочково Камыстинского района Костанайской области (далее – село Клочково)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Клочково.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Клочково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</w:t>
      </w:r>
      <w:r>
        <w:br/>
      </w:r>
      <w:r>
        <w:rPr>
          <w:rFonts w:ascii="Times New Roman"/>
          <w:b/>
          <w:i w:val="false"/>
          <w:color w:val="000000"/>
        </w:rPr>
        <w:t>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Клочково.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Клочково организуется акимом села Клочково.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Клочково,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Клочково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Клочково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Клочково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Клочково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Клочково.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Клочково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