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0892" w14:textId="312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22 декабря 2015 года № 333. Зарегистрировано Департаментом юстиции Костанайской области 18 января 2016 года № 6142. Утратило силу решением маслихата Камыстинского района Костанайской области от 16 августа 2016 года № 52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Камыстинского района Костанайской области от 16.08.2016 № </w:t>
      </w:r>
      <w:r>
        <w:rPr>
          <w:rFonts w:ascii="Times New Roman"/>
          <w:b w:val="false"/>
          <w:i w:val="false"/>
          <w:color w:val="ff0000"/>
          <w:sz w:val="28"/>
        </w:rPr>
        <w:t>52</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Камыстинский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решения Камыстинского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Оркашбаев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Камыстинского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государственного учреждения </w:t>
      </w:r>
      <w:r>
        <w:br/>
      </w:r>
      <w:r>
        <w:rPr>
          <w:rFonts w:ascii="Times New Roman"/>
          <w:b w:val="false"/>
          <w:i w:val="false"/>
          <w:color w:val="000000"/>
          <w:sz w:val="28"/>
        </w:rPr>
        <w:t xml:space="preserve">
      "Отдел занятости и социальных программ </w:t>
      </w:r>
      <w:r>
        <w:br/>
      </w:r>
      <w:r>
        <w:rPr>
          <w:rFonts w:ascii="Times New Roman"/>
          <w:b w:val="false"/>
          <w:i w:val="false"/>
          <w:color w:val="000000"/>
          <w:sz w:val="28"/>
        </w:rPr>
        <w:t xml:space="preserve">
      акимата Камыстинского района" </w:t>
      </w:r>
      <w:r>
        <w:br/>
      </w:r>
      <w:r>
        <w:rPr>
          <w:rFonts w:ascii="Times New Roman"/>
          <w:b w:val="false"/>
          <w:i w:val="false"/>
          <w:color w:val="000000"/>
          <w:sz w:val="28"/>
        </w:rPr>
        <w:t xml:space="preserve">
      _________________ Л. Иванченко </w:t>
      </w:r>
      <w:r>
        <w:br/>
      </w:r>
      <w:r>
        <w:rPr>
          <w:rFonts w:ascii="Times New Roman"/>
          <w:b w:val="false"/>
          <w:i w:val="false"/>
          <w:color w:val="000000"/>
          <w:sz w:val="28"/>
        </w:rPr>
        <w:t>
      22 декабря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22 декабря 2015 года</w:t>
            </w:r>
            <w:r>
              <w:br/>
            </w:r>
            <w:r>
              <w:rPr>
                <w:rFonts w:ascii="Times New Roman"/>
                <w:b w:val="false"/>
                <w:i w:val="false"/>
                <w:color w:val="000000"/>
                <w:sz w:val="20"/>
              </w:rPr>
              <w:t>№ 333</w:t>
            </w:r>
          </w:p>
        </w:tc>
      </w:tr>
    </w:tbl>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решений Камыстинского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маслихата от 22 октября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4293, опубликовано 22 ноября 2013 года в газете "Қамысты жаңалықтары – Камыстинские новости");</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от 15 мая 2014 года № 206 "О внесении изменения в решение маслихата от 22 октября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4813, опубликовано 13 июня 2014 года в газете "Қамысты жаңалықтары – Камыстинские новости");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маслихата от 24 декабря 2014 года № 249 "О внесении изменения в решение маслихата от 22 октября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5292, опубликовано 20 января 2015 года в газете "Қамысты жаңалықтары – Камыстинские новости");</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маслихата от 20 марта 2015 года № 264 "О внесении изменения в решение маслихата от 22 октября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5521, опубликовано 24 апреля 2015 года в газете "Қамысты жаңалықтары – Камыстинские новости").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22 декабря 2015 года</w:t>
            </w:r>
            <w:r>
              <w:br/>
            </w:r>
            <w:r>
              <w:rPr>
                <w:rFonts w:ascii="Times New Roman"/>
                <w:b w:val="false"/>
                <w:i w:val="false"/>
                <w:color w:val="000000"/>
                <w:sz w:val="20"/>
              </w:rPr>
              <w:t>№ 333</w:t>
            </w:r>
          </w:p>
        </w:tc>
      </w:tr>
    </w:tbl>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 отдельных</w:t>
      </w:r>
      <w:r>
        <w:br/>
      </w:r>
      <w:r>
        <w:rPr>
          <w:rFonts w:ascii="Times New Roman"/>
          <w:b/>
          <w:i w:val="false"/>
          <w:color w:val="000000"/>
        </w:rPr>
        <w:t>категорий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 за исключением социальной помощи на контрактной основе;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социальная адаптация – предоставление специальных социальных услуг в зависимости от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xml:space="preserve">
      5) </w:t>
      </w:r>
      <w:r>
        <w:rPr>
          <w:rFonts w:ascii="Times New Roman"/>
          <w:b w:val="false"/>
          <w:i w:val="false"/>
          <w:color w:val="000000"/>
          <w:sz w:val="28"/>
        </w:rPr>
        <w:t>прожиточный минимум</w:t>
      </w:r>
      <w:r>
        <w:rPr>
          <w:rFonts w:ascii="Times New Roman"/>
          <w:b w:val="false"/>
          <w:i w:val="false"/>
          <w:color w:val="000000"/>
          <w:sz w:val="28"/>
        </w:rPr>
        <w:t xml:space="preserve">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контрактной основе, и уполномоченным органом, определяющее права и обязанности сторон;</w:t>
      </w:r>
      <w:r>
        <w:br/>
      </w:r>
      <w:r>
        <w:rPr>
          <w:rFonts w:ascii="Times New Roman"/>
          <w:b w:val="false"/>
          <w:i w:val="false"/>
          <w:color w:val="000000"/>
          <w:sz w:val="28"/>
        </w:rPr>
        <w:t xml:space="preserve">
      8) индивидуальный план помощи семье (далее – </w:t>
      </w:r>
      <w:r>
        <w:rPr>
          <w:rFonts w:ascii="Times New Roman"/>
          <w:b w:val="false"/>
          <w:i w:val="false"/>
          <w:color w:val="000000"/>
          <w:sz w:val="28"/>
        </w:rPr>
        <w:t>индивидуальный план</w:t>
      </w:r>
      <w:r>
        <w:rPr>
          <w:rFonts w:ascii="Times New Roman"/>
          <w:b w:val="false"/>
          <w:i w:val="false"/>
          <w:color w:val="000000"/>
          <w:sz w:val="28"/>
        </w:rPr>
        <w:t>)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9)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10) социальная помощь на контрактной основе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11)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r>
        <w:br/>
      </w:r>
      <w:r>
        <w:rPr>
          <w:rFonts w:ascii="Times New Roman"/>
          <w:b w:val="false"/>
          <w:i w:val="false"/>
          <w:color w:val="000000"/>
          <w:sz w:val="28"/>
        </w:rPr>
        <w:t>
      12)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13) уполномоченная организация – Республиканское государственное казенное предприятие "Государственный центр по выплате пенсий" Камыстинское районное отделение;</w:t>
      </w:r>
      <w:r>
        <w:br/>
      </w:r>
      <w:r>
        <w:rPr>
          <w:rFonts w:ascii="Times New Roman"/>
          <w:b w:val="false"/>
          <w:i w:val="false"/>
          <w:color w:val="000000"/>
          <w:sz w:val="28"/>
        </w:rPr>
        <w:t>
      14)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Перечень категорий получателей социальной помощи</w:t>
      </w:r>
      <w:r>
        <w:br/>
      </w:r>
      <w:r>
        <w:rPr>
          <w:rFonts w:ascii="Times New Roman"/>
          <w:b w:val="false"/>
          <w:i w:val="false"/>
          <w:color w:val="000000"/>
          <w:sz w:val="28"/>
        </w:rPr>
        <w:t>
      и установления размеров социальной помощи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 за исключением социальной помощи на контрактной основе, которая предоставляется на срок действия социального контракта активизации семьи и выплачивается ежемесячно или единовременно за три месяца по заявлению лица (членов семьи).</w:t>
      </w:r>
      <w:r>
        <w:br/>
      </w:r>
      <w:r>
        <w:rPr>
          <w:rFonts w:ascii="Times New Roman"/>
          <w:b w:val="false"/>
          <w:i w:val="false"/>
          <w:color w:val="000000"/>
          <w:sz w:val="28"/>
        </w:rPr>
        <w:t>
      При этом единовременная сумма социальной помощи на контрактной основе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технического и профессионального образования, послесреднего 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4) наличие среднедушевого дохода, не превышающего 60 процентов от величины прожиточного минимума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9.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10. Социальная помощь на контрактной основе при наступлении трудной жизненной ситуации по основанию указанного в подпункте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предоставляется лицам (членам семьи) с месячным среднедушевым доходом,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(членов семьи) в мерах содействия занятости и случае необходимости социальной адаптации лиц (членов семьи), включая трудоспособных.</w:t>
      </w:r>
      <w:r>
        <w:br/>
      </w:r>
      <w:r>
        <w:rPr>
          <w:rFonts w:ascii="Times New Roman"/>
          <w:b w:val="false"/>
          <w:i w:val="false"/>
          <w:color w:val="000000"/>
          <w:sz w:val="28"/>
        </w:rPr>
        <w:t>
      </w:t>
      </w:r>
      <w:r>
        <w:rPr>
          <w:rFonts w:ascii="Times New Roman"/>
          <w:b w:val="false"/>
          <w:i w:val="false"/>
          <w:color w:val="000000"/>
          <w:sz w:val="28"/>
        </w:rPr>
        <w:t>11.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за исключением социальной помощи на контрактной основе,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13. Размер социальной помощи на контрактной основе на каждое лицо (члена семьи) определяется как разница между среднедушевым доходом лица (членов семьи) и 60 процентами от величины прожиточного минимума, установленного в Костанайской области.</w:t>
      </w:r>
      <w:r>
        <w:br/>
      </w:r>
      <w:r>
        <w:rPr>
          <w:rFonts w:ascii="Times New Roman"/>
          <w:b w:val="false"/>
          <w:i w:val="false"/>
          <w:color w:val="000000"/>
          <w:sz w:val="28"/>
        </w:rPr>
        <w:t>
      Размер социальной помощи на контрактной основе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оказания социальной помощи</w:t>
      </w:r>
      <w:r>
        <w:br/>
      </w:r>
      <w:r>
        <w:rPr>
          <w:rFonts w:ascii="Times New Roman"/>
          <w:b w:val="false"/>
          <w:i w:val="false"/>
          <w:color w:val="000000"/>
          <w:sz w:val="28"/>
        </w:rPr>
        <w:t>
      </w:t>
      </w:r>
      <w:r>
        <w:rPr>
          <w:rFonts w:ascii="Times New Roman"/>
          <w:b w:val="false"/>
          <w:i w:val="false"/>
          <w:color w:val="000000"/>
          <w:sz w:val="28"/>
        </w:rPr>
        <w:t>14.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15.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xml:space="preserve">
      4) сведения о доходах лица (членов семьи), указанных в подпунктах 4),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 за исключением социальной помощи на контрактной основе;</w:t>
      </w:r>
      <w:r>
        <w:br/>
      </w:r>
      <w:r>
        <w:rPr>
          <w:rFonts w:ascii="Times New Roman"/>
          <w:b w:val="false"/>
          <w:i w:val="false"/>
          <w:color w:val="000000"/>
          <w:sz w:val="28"/>
        </w:rPr>
        <w:t xml:space="preserve">
      6) сведения о наличии личного подсобного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xml:space="preserve">
      Документы, указанные в подпунктах 6), 7) </w:t>
      </w:r>
      <w:r>
        <w:rPr>
          <w:rFonts w:ascii="Times New Roman"/>
          <w:b w:val="false"/>
          <w:i w:val="false"/>
          <w:color w:val="000000"/>
          <w:sz w:val="28"/>
        </w:rPr>
        <w:t>настоящего пункта</w:t>
      </w:r>
      <w:r>
        <w:rPr>
          <w:rFonts w:ascii="Times New Roman"/>
          <w:b w:val="false"/>
          <w:i w:val="false"/>
          <w:color w:val="000000"/>
          <w:sz w:val="28"/>
        </w:rPr>
        <w:t xml:space="preserve"> предоставляются только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17.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Документы, указанные в подпунктах 3), 6) </w:t>
      </w:r>
      <w:r>
        <w:rPr>
          <w:rFonts w:ascii="Times New Roman"/>
          <w:b w:val="false"/>
          <w:i w:val="false"/>
          <w:color w:val="000000"/>
          <w:sz w:val="28"/>
        </w:rPr>
        <w:t>пункта 16</w:t>
      </w:r>
      <w:r>
        <w:rPr>
          <w:rFonts w:ascii="Times New Roman"/>
          <w:b w:val="false"/>
          <w:i w:val="false"/>
          <w:color w:val="000000"/>
          <w:sz w:val="28"/>
        </w:rPr>
        <w:t xml:space="preserve"> настоящих Правил предоставляются в подлинниках.</w:t>
      </w:r>
      <w:r>
        <w:br/>
      </w:r>
      <w:r>
        <w:rPr>
          <w:rFonts w:ascii="Times New Roman"/>
          <w:b w:val="false"/>
          <w:i w:val="false"/>
          <w:color w:val="000000"/>
          <w:sz w:val="28"/>
        </w:rPr>
        <w:t>
      </w:t>
      </w:r>
      <w:r>
        <w:rPr>
          <w:rFonts w:ascii="Times New Roman"/>
          <w:b w:val="false"/>
          <w:i w:val="false"/>
          <w:color w:val="000000"/>
          <w:sz w:val="28"/>
        </w:rPr>
        <w:t>18. При обращении лица (членов семьи) за социальной помощью на контрактной основе уполномоченный орган, аким села,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лицом (членом семьи), в ходе которого уточняет информацию о проблемах лица (членов семьи),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социальной помощи на контрактной основе;</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после чего подается заявление.</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w:t>
      </w:r>
      <w:r>
        <w:br/>
      </w:r>
      <w:r>
        <w:rPr>
          <w:rFonts w:ascii="Times New Roman"/>
          <w:b w:val="false"/>
          <w:i w:val="false"/>
          <w:color w:val="000000"/>
          <w:sz w:val="28"/>
        </w:rPr>
        <w:t>
      1)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 при оказании социальной помощи на контрактной основе в течение трех рабочих дней со дня поступления документов от участковой комиссии или акима села, сельского округа производит расчет среднедушевого дохода лица (членов семьи) в соответствии с законодательством Республики Казахстан и принимает решение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24. Среднедушевой доход лица (членов семьи), претендующего на оказание социальной помощи на контрактной основе исчисляется путем деления совокупного дохода семьи, полученного за 3 месяца, предшествующих месяцу обращения за назначением социальной помощи,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Совокупный доход, рассчитывается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30. Отказ в оказании социальной помощи на контрактной основе осуществляется в случаях:</w:t>
      </w:r>
      <w:r>
        <w:br/>
      </w:r>
      <w:r>
        <w:rPr>
          <w:rFonts w:ascii="Times New Roman"/>
          <w:b w:val="false"/>
          <w:i w:val="false"/>
          <w:color w:val="000000"/>
          <w:sz w:val="28"/>
        </w:rPr>
        <w:t>
      1) наличия заключения участковой комиссии об отсутствии необходимости предоставления социальной помощи;</w:t>
      </w:r>
      <w:r>
        <w:br/>
      </w:r>
      <w:r>
        <w:rPr>
          <w:rFonts w:ascii="Times New Roman"/>
          <w:b w:val="false"/>
          <w:i w:val="false"/>
          <w:color w:val="000000"/>
          <w:sz w:val="28"/>
        </w:rPr>
        <w:t>
      2) превышения размера среднедушевого дохода семьи 60 процентов от величины прожиточного минимума;</w:t>
      </w:r>
      <w:r>
        <w:br/>
      </w:r>
      <w:r>
        <w:rPr>
          <w:rFonts w:ascii="Times New Roman"/>
          <w:b w:val="false"/>
          <w:i w:val="false"/>
          <w:color w:val="000000"/>
          <w:sz w:val="28"/>
        </w:rPr>
        <w:t>
      3) отказ от участия в мерах содействия занятости одного или нескольких трудоспособных членов семьи, отнесенных к категории самозанятых, безработных, лиц трудоспособного возраста из числа малообеспеченных;</w:t>
      </w:r>
      <w:r>
        <w:br/>
      </w:r>
      <w:r>
        <w:rPr>
          <w:rFonts w:ascii="Times New Roman"/>
          <w:b w:val="false"/>
          <w:i w:val="false"/>
          <w:color w:val="000000"/>
          <w:sz w:val="28"/>
        </w:rPr>
        <w:t>
      4) отсутствия в составе семьи трудоспособных претендентов на участие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31.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Камыстинского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Заключение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33. После определения права на получение социальной помощи на контрактной основе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в центр занятости для участия в государственных мерах содействия занятости и заключения социального контракта, либо им предоставляются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34. В индивидуальном плане указываются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повышение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35.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контрактной основе не пересматривается.</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 заключивший социальный контракт активизации семьи.</w:t>
      </w:r>
      <w:r>
        <w:br/>
      </w:r>
      <w:r>
        <w:rPr>
          <w:rFonts w:ascii="Times New Roman"/>
          <w:b w:val="false"/>
          <w:i w:val="false"/>
          <w:color w:val="000000"/>
          <w:sz w:val="28"/>
        </w:rPr>
        <w:t>
      </w:t>
      </w:r>
      <w:r>
        <w:rPr>
          <w:rFonts w:ascii="Times New Roman"/>
          <w:b w:val="false"/>
          <w:i w:val="false"/>
          <w:color w:val="000000"/>
          <w:sz w:val="28"/>
        </w:rPr>
        <w:t>38. Уполномоченный орган осуществляет на всех этапах сопровождение социального контракта активизации семьи и выполнение индивидуального плана.</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Основания для прекращения</w:t>
      </w:r>
      <w:r>
        <w:br/>
      </w:r>
      <w:r>
        <w:rPr>
          <w:rFonts w:ascii="Times New Roman"/>
          <w:b w:val="false"/>
          <w:i w:val="false"/>
          <w:color w:val="000000"/>
          <w:sz w:val="28"/>
        </w:rPr>
        <w:t>
      и возврата предоставляемой социальной помощи</w:t>
      </w:r>
      <w:r>
        <w:br/>
      </w:r>
      <w:r>
        <w:rPr>
          <w:rFonts w:ascii="Times New Roman"/>
          <w:b w:val="false"/>
          <w:i w:val="false"/>
          <w:color w:val="000000"/>
          <w:sz w:val="28"/>
        </w:rPr>
        <w:t>
      </w:t>
      </w:r>
      <w:r>
        <w:rPr>
          <w:rFonts w:ascii="Times New Roman"/>
          <w:b w:val="false"/>
          <w:i w:val="false"/>
          <w:color w:val="000000"/>
          <w:sz w:val="28"/>
        </w:rPr>
        <w:t>39.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40. Социальная помощь на контрактной основе прекращается в случаях:</w:t>
      </w:r>
      <w:r>
        <w:br/>
      </w:r>
      <w:r>
        <w:rPr>
          <w:rFonts w:ascii="Times New Roman"/>
          <w:b w:val="false"/>
          <w:i w:val="false"/>
          <w:color w:val="000000"/>
          <w:sz w:val="28"/>
        </w:rPr>
        <w:t>
      1) невыполнения получателем социальной помощи обязательств по социальному контракту активизации семьи и социальному контракту;</w:t>
      </w:r>
      <w:r>
        <w:br/>
      </w:r>
      <w:r>
        <w:rPr>
          <w:rFonts w:ascii="Times New Roman"/>
          <w:b w:val="false"/>
          <w:i w:val="false"/>
          <w:color w:val="000000"/>
          <w:sz w:val="28"/>
        </w:rPr>
        <w:t>
      2) расторжения социального контракта активизации семьи в связи с представлением недостоверных сведений;</w:t>
      </w:r>
      <w:r>
        <w:br/>
      </w:r>
      <w:r>
        <w:rPr>
          <w:rFonts w:ascii="Times New Roman"/>
          <w:b w:val="false"/>
          <w:i w:val="false"/>
          <w:color w:val="000000"/>
          <w:sz w:val="28"/>
        </w:rPr>
        <w:t>
      3) отсутствия движений по банковскому счету получателя более трех месяцев;</w:t>
      </w:r>
      <w:r>
        <w:br/>
      </w:r>
      <w:r>
        <w:rPr>
          <w:rFonts w:ascii="Times New Roman"/>
          <w:b w:val="false"/>
          <w:i w:val="false"/>
          <w:color w:val="000000"/>
          <w:sz w:val="28"/>
        </w:rPr>
        <w:t>
      4) выявления сведений о факте выезда получателей социальной помощи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6) истечение срока действия документа, удостоверяющего личность;</w:t>
      </w:r>
      <w:r>
        <w:br/>
      </w:r>
      <w:r>
        <w:rPr>
          <w:rFonts w:ascii="Times New Roman"/>
          <w:b w:val="false"/>
          <w:i w:val="false"/>
          <w:color w:val="000000"/>
          <w:sz w:val="28"/>
        </w:rPr>
        <w:t>
      7) выявление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Выплата социальной помощи на контрактной основе прекращается со следующего месяца после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Заключительное положение</w:t>
      </w:r>
      <w:r>
        <w:br/>
      </w: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в том числе социальной помощи на контрактной основе, проводит уполномоченый орган с использованием базы данных автоматизированных информационных систем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Сведения о наличии личного подсобного хозяйства</w:t>
      </w:r>
      <w:r>
        <w:br/>
      </w:r>
      <w:r>
        <w:rPr>
          <w:rFonts w:ascii="Times New Roman"/>
          <w:b/>
          <w:i w:val="false"/>
          <w:color w:val="000000"/>
        </w:rPr>
        <w:t>(для расчета доходов)</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для оказания социальной помощи на основе социального контракта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8255000"/>
                    </a:xfrm>
                    <a:prstGeom prst="rect">
                      <a:avLst/>
                    </a:prstGeom>
                  </pic:spPr>
                </pic:pic>
              </a:graphicData>
            </a:graphic>
          </wp:inline>
        </w:drawing>
      </w:r>
    </w:p>
    <w:p>
      <w:pPr>
        <w:spacing w:after="0"/>
        <w:ind w:left="0"/>
        <w:jc w:val="both"/>
      </w:pPr>
      <w:r>
        <w:drawing>
          <wp:inline distT="0" distB="0" distL="0" distR="0">
            <wp:extent cx="7620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8826500"/>
                    </a:xfrm>
                    <a:prstGeom prst="rect">
                      <a:avLst/>
                    </a:prstGeom>
                  </pic:spPr>
                </pic:pic>
              </a:graphicData>
            </a:graphic>
          </wp:inline>
        </w:drawing>
      </w:r>
    </w:p>
    <w:p>
      <w:pPr>
        <w:spacing w:after="0"/>
        <w:ind w:left="0"/>
        <w:jc w:val="both"/>
      </w:pPr>
      <w:r>
        <w:drawing>
          <wp:inline distT="0" distB="0" distL="0" distR="0">
            <wp:extent cx="76200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10426700"/>
                    </a:xfrm>
                    <a:prstGeom prst="rect">
                      <a:avLst/>
                    </a:prstGeom>
                  </pic:spPr>
                </pic:pic>
              </a:graphicData>
            </a:graphic>
          </wp:inline>
        </w:drawing>
      </w:r>
    </w:p>
    <w:p>
      <w:pPr>
        <w:spacing w:after="0"/>
        <w:ind w:left="0"/>
        <w:jc w:val="both"/>
      </w:pPr>
      <w:r>
        <w:drawing>
          <wp:inline distT="0" distB="0" distL="0" distR="0">
            <wp:extent cx="762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Индивидуальный план помощи семье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9118600"/>
                    </a:xfrm>
                    <a:prstGeom prst="rect">
                      <a:avLst/>
                    </a:prstGeom>
                  </pic:spPr>
                </pic:pic>
              </a:graphicData>
            </a:graphic>
          </wp:inline>
        </w:drawing>
      </w:r>
    </w:p>
    <w:p>
      <w:pPr>
        <w:spacing w:after="0"/>
        <w:ind w:left="0"/>
        <w:jc w:val="both"/>
      </w:pPr>
      <w:r>
        <w:drawing>
          <wp:inline distT="0" distB="0" distL="0" distR="0">
            <wp:extent cx="76200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Социальный контракт активизации семьи</w:t>
      </w:r>
    </w:p>
    <w:p>
      <w:pPr>
        <w:spacing w:after="0"/>
        <w:ind w:left="0"/>
        <w:jc w:val="left"/>
      </w:pPr>
      <w:r>
        <w:rPr>
          <w:rFonts w:ascii="Times New Roman"/>
          <w:b w:val="false"/>
          <w:i w:val="false"/>
          <w:color w:val="000000"/>
          <w:sz w:val="28"/>
        </w:rPr>
        <w:t>      _______________________ № _____ "_____"______ 20 ___ год</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в лице,______________________________________________________________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занимаемая должность уполномоченного представителя) именуемый в дальнейшем "Отдел занятости и социальных программ", с одной стороны, и гражданин(ка)______________________________________________________,</w:t>
      </w:r>
      <w:r>
        <w:br/>
      </w:r>
      <w:r>
        <w:rPr>
          <w:rFonts w:ascii="Times New Roman"/>
          <w:b w:val="false"/>
          <w:i w:val="false"/>
          <w:color w:val="000000"/>
          <w:sz w:val="28"/>
        </w:rPr>
        <w:t>
      (фамилия,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выступающий(ая) от лица семьи – заявителя на получение социальной помощи на контрактной основе и проживающий(ая) по адресу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на контрактной основе о нижеследующем:</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Предмет контракта</w:t>
      </w:r>
      <w:r>
        <w:br/>
      </w:r>
      <w:r>
        <w:rPr>
          <w:rFonts w:ascii="Times New Roman"/>
          <w:b w:val="false"/>
          <w:i w:val="false"/>
          <w:color w:val="000000"/>
          <w:sz w:val="28"/>
        </w:rPr>
        <w:t>
      </w:t>
      </w:r>
      <w:r>
        <w:rPr>
          <w:rFonts w:ascii="Times New Roman"/>
          <w:b w:val="false"/>
          <w:i w:val="false"/>
          <w:color w:val="000000"/>
          <w:sz w:val="28"/>
        </w:rPr>
        <w:t>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Обязанности сторон контракта</w:t>
      </w:r>
      <w:r>
        <w:br/>
      </w: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_______ членов семьи: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его наличии) членов семьи)</w:t>
      </w:r>
      <w:r>
        <w:br/>
      </w:r>
      <w:r>
        <w:rPr>
          <w:rFonts w:ascii="Times New Roman"/>
          <w:b w:val="false"/>
          <w:i w:val="false"/>
          <w:color w:val="000000"/>
          <w:sz w:val="28"/>
        </w:rPr>
        <w:t>
      ежемесячно в размере _________ (_____________________________________________)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за период с ___________________ по ___________________ и (или) единовременно в размере 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тенге на __________________________________________________________________;</w:t>
      </w:r>
      <w:r>
        <w:br/>
      </w:r>
      <w:r>
        <w:rPr>
          <w:rFonts w:ascii="Times New Roman"/>
          <w:b w:val="false"/>
          <w:i w:val="false"/>
          <w:color w:val="000000"/>
          <w:sz w:val="28"/>
        </w:rPr>
        <w:t>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социального(ых) контракта(ов), заключенного(ых)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социальной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Права сторон</w:t>
      </w:r>
      <w:r>
        <w:br/>
      </w: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требует своевременного и надлежащего исполнения контракта;</w:t>
      </w:r>
      <w:r>
        <w:br/>
      </w:r>
      <w:r>
        <w:rPr>
          <w:rFonts w:ascii="Times New Roman"/>
          <w:b w:val="false"/>
          <w:i w:val="false"/>
          <w:color w:val="000000"/>
          <w:sz w:val="28"/>
        </w:rPr>
        <w:t>
      3) потребует перерасчета обусловленной денежной помощи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Ответственность сторон за неисполнение условий контракта</w:t>
      </w:r>
      <w:r>
        <w:br/>
      </w:r>
      <w:r>
        <w:rPr>
          <w:rFonts w:ascii="Times New Roman"/>
          <w:b w:val="false"/>
          <w:i w:val="false"/>
          <w:color w:val="000000"/>
          <w:sz w:val="28"/>
        </w:rPr>
        <w:t>
      </w:t>
      </w:r>
      <w:r>
        <w:rPr>
          <w:rFonts w:ascii="Times New Roman"/>
          <w:b w:val="false"/>
          <w:i w:val="false"/>
          <w:color w:val="000000"/>
          <w:sz w:val="28"/>
        </w:rPr>
        <w:t>6. Заявитель и (или)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Непредвиденные обстоятельства</w:t>
      </w:r>
      <w:r>
        <w:br/>
      </w: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 (указать период), то стороны вправе расторгнуть настоящий контракт.</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Прочие условия</w:t>
      </w:r>
      <w:r>
        <w:br/>
      </w: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 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Адреса и реквизиты сторон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76"/>
        <w:gridCol w:w="5024"/>
      </w:tblGrid>
      <w:tr>
        <w:trPr>
          <w:trHeight w:val="30" w:hRule="atLeast"/>
        </w:trPr>
        <w:tc>
          <w:tcPr>
            <w:tcW w:w="72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
социальных программ</w:t>
            </w:r>
            <w:r>
              <w:br/>
            </w:r>
            <w:r>
              <w:rPr>
                <w:rFonts w:ascii="Times New Roman"/>
                <w:b w:val="false"/>
                <w:i w:val="false"/>
                <w:color w:val="000000"/>
                <w:sz w:val="20"/>
              </w:rPr>
              <w:t>
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уполномоченного органа)</w:t>
            </w:r>
            <w:r>
              <w:br/>
            </w:r>
            <w:r>
              <w:rPr>
                <w:rFonts w:ascii="Times New Roman"/>
                <w:b w:val="false"/>
                <w:i w:val="false"/>
                <w:color w:val="000000"/>
                <w:sz w:val="20"/>
              </w:rPr>
              <w:t>
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уполномоченного</w:t>
            </w:r>
            <w:r>
              <w:br/>
            </w:r>
            <w:r>
              <w:rPr>
                <w:rFonts w:ascii="Times New Roman"/>
                <w:b w:val="false"/>
                <w:i w:val="false"/>
                <w:color w:val="000000"/>
                <w:sz w:val="20"/>
              </w:rPr>
              <w:t>
представителя)</w:t>
            </w:r>
            <w:r>
              <w:br/>
            </w:r>
            <w:r>
              <w:rPr>
                <w:rFonts w:ascii="Times New Roman"/>
                <w:b w:val="false"/>
                <w:i w:val="false"/>
                <w:color w:val="000000"/>
                <w:sz w:val="20"/>
              </w:rPr>
              <w:t>
______________________________</w:t>
            </w:r>
            <w:r>
              <w:br/>
            </w:r>
            <w:r>
              <w:rPr>
                <w:rFonts w:ascii="Times New Roman"/>
                <w:b w:val="false"/>
                <w:i w:val="false"/>
                <w:color w:val="000000"/>
                <w:sz w:val="20"/>
              </w:rPr>
              <w:t>
(подпись)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