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7703" w14:textId="fff7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критериев по выбору видов отчуждения коммунального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Джангельдинского района Костанайской области от 4 июня 2015 года № 94. Зарегистрировано Департаментом юстиции Костанайской области 3 июля 2015 года № 5721. Утратило силу постановлением акимата Джангельдинского района Костанайской области от 16 августа 2016 года № 85</w:t>
      </w:r>
    </w:p>
    <w:p>
      <w:pPr>
        <w:spacing w:after="0"/>
        <w:ind w:left="0"/>
        <w:jc w:val="left"/>
      </w:pPr>
      <w:r>
        <w:rPr>
          <w:rFonts w:ascii="Times New Roman"/>
          <w:b w:val="false"/>
          <w:i w:val="false"/>
          <w:color w:val="ff0000"/>
          <w:sz w:val="28"/>
        </w:rPr>
        <w:t xml:space="preserve">      Сноска. Утратило силу постановлением акимата Джангельдинского района Костанайской области от 16.08.2016 </w:t>
      </w:r>
      <w:r>
        <w:rPr>
          <w:rFonts w:ascii="Times New Roman"/>
          <w:b w:val="false"/>
          <w:i w:val="false"/>
          <w:color w:val="ff0000"/>
          <w:sz w:val="28"/>
        </w:rPr>
        <w:t>№ 85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9 августа 2011 года</w:t>
      </w:r>
      <w:r>
        <w:rPr>
          <w:rFonts w:ascii="Times New Roman"/>
          <w:b w:val="false"/>
          <w:i w:val="false"/>
          <w:color w:val="000000"/>
          <w:sz w:val="28"/>
        </w:rPr>
        <w:t xml:space="preserve"> № 920</w:t>
      </w:r>
      <w:r>
        <w:rPr>
          <w:rFonts w:ascii="Times New Roman"/>
          <w:b w:val="false"/>
          <w:i w:val="false"/>
          <w:color w:val="000000"/>
          <w:sz w:val="28"/>
        </w:rPr>
        <w:t xml:space="preserve"> "Об утверждении Правил продажи объектов приватизации" акимат Джангельдинского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Определить критерии по выбору видов отчуждения коммунального имущества согласно</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4 июня 2015 года № 94</w:t>
            </w:r>
          </w:p>
        </w:tc>
      </w:tr>
    </w:tbl>
    <w:p>
      <w:pPr>
        <w:spacing w:after="0"/>
        <w:ind w:left="0"/>
        <w:jc w:val="left"/>
      </w:pPr>
      <w:r>
        <w:rPr>
          <w:rFonts w:ascii="Times New Roman"/>
          <w:b/>
          <w:i w:val="false"/>
          <w:color w:val="000000"/>
        </w:rPr>
        <w:t xml:space="preserve"> Критерии по выбору видов отчуждения коммунального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0091"/>
        <w:gridCol w:w="1346"/>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критериев</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отчуждения</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Отсутствие заинтересованности государства в дальнейшем контроле над объектом приватизации;</w:t>
            </w:r>
            <w:r>
              <w:br/>
            </w:r>
            <w:r>
              <w:rPr>
                <w:rFonts w:ascii="Times New Roman"/>
                <w:b w:val="false"/>
                <w:i w:val="false"/>
                <w:color w:val="000000"/>
                <w:sz w:val="20"/>
              </w:rPr>
              <w:t>
необходимость получения денежных средств в бюджет от продажи объекта приватизации в установленные законодательством сроки;</w:t>
            </w:r>
            <w:r>
              <w:br/>
            </w:r>
            <w:r>
              <w:rPr>
                <w:rFonts w:ascii="Times New Roman"/>
                <w:b w:val="false"/>
                <w:i w:val="false"/>
                <w:color w:val="000000"/>
                <w:sz w:val="20"/>
              </w:rPr>
              <w:t>
необходимость реализации объекта приватизации по максимально возможной цене и привлечения широкого круга участников торгов;</w:t>
            </w:r>
            <w:r>
              <w:br/>
            </w:r>
            <w:r>
              <w:rPr>
                <w:rFonts w:ascii="Times New Roman"/>
                <w:b w:val="false"/>
                <w:i w:val="false"/>
                <w:color w:val="000000"/>
                <w:sz w:val="20"/>
              </w:rPr>
              <w:t>
реализации ценных бумаг, принадлежащих государству, при отсутствии заинтересованности государства в дальнейшем их контроле.</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торгов в форме аукциона</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получения денежных средств в бюджет от продажи объекта приватизации в установленные законодательством сроки;</w:t>
            </w:r>
            <w:r>
              <w:br/>
            </w:r>
            <w:r>
              <w:rPr>
                <w:rFonts w:ascii="Times New Roman"/>
                <w:b w:val="false"/>
                <w:i w:val="false"/>
                <w:color w:val="000000"/>
                <w:sz w:val="20"/>
              </w:rPr>
              <w:t>
необходимость сохранения контроля государства над объектом приватизации на определенный период времени путем установления условий продажи (сохранение профиля деятельности, погашение кредиторской задолженности, погашение задолженности по заработной плате и другие условия);</w:t>
            </w:r>
            <w:r>
              <w:br/>
            </w:r>
            <w:r>
              <w:rPr>
                <w:rFonts w:ascii="Times New Roman"/>
                <w:b w:val="false"/>
                <w:i w:val="false"/>
                <w:color w:val="000000"/>
                <w:sz w:val="20"/>
              </w:rPr>
              <w:t>
необходимость реализации объекта приватизации по максимально возможной цене;</w:t>
            </w:r>
            <w:r>
              <w:br/>
            </w:r>
            <w:r>
              <w:rPr>
                <w:rFonts w:ascii="Times New Roman"/>
                <w:b w:val="false"/>
                <w:i w:val="false"/>
                <w:color w:val="000000"/>
                <w:sz w:val="20"/>
              </w:rPr>
              <w:t>
реализации ценных бумаг, принадлежащих государству,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 (сохранение профиля деятельности, погашение кредиторской задолженности, погашение задолженности по заработной плате и другие условия).</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торгов в форме коммерческого тендера</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сохранения на определенный период времени контроля государства за выполнением условий договора доверительного управления, имущественного найма (аренды) с правом последующего выкупа доверительным управляющим, нанимателем (арендатором).</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Прямая адресная продажа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