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2860" w14:textId="d282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6 февраля 2015 года № 363. Зарегистрировано Департаментом юстиции Костанайской области 3 марта 2015 года № 5391. Утратило силу решением маслихата города Рудного Костанайской области от 18 декабря 2015 года № 467</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города Рудного Костанайской области от 18.12.2015 </w:t>
      </w:r>
      <w:r>
        <w:rPr>
          <w:rFonts w:ascii="Times New Roman"/>
          <w:b w:val="false"/>
          <w:i w:val="false"/>
          <w:color w:val="ff0000"/>
          <w:sz w:val="28"/>
        </w:rPr>
        <w:t>№ 467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от 12 сентября 2014 года № 317 "Об утверждении Правил оказания жилищной помощи" (зарегистрированное в Реестре государственной регистрации нормативных правовых актов под номером 5116, опубликованное 28 октября 2014 года в городской газете "Рудненский рабочий").</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Председатель внеочередной</w:t>
            </w:r>
            <w:r>
              <w:br/>
            </w:r>
            <w:r>
              <w:rPr>
                <w:rFonts w:ascii="Times New Roman"/>
                <w:b w:val="false"/>
                <w:i w:val="false"/>
                <w:color w:val="000000"/>
                <w:sz w:val="20"/>
              </w:rPr>
              <w:t>
      </w:t>
            </w:r>
            <w:r>
              <w:rPr>
                <w:rFonts w:ascii="Times New Roman"/>
                <w:b w:val="false"/>
                <w:i/>
                <w:color w:val="000000"/>
                <w:sz w:val="20"/>
              </w:rPr>
              <w:t>сессии городского маслихата</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Бисенбаева</w:t>
            </w:r>
          </w:p>
        </w:tc>
      </w:tr>
      <w:tr>
        <w:trPr>
          <w:trHeight w:val="30" w:hRule="atLeast"/>
        </w:trPr>
        <w:tc>
          <w:tcPr>
            <w:tcW w:w="7794"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val="false"/>
                <w:color w:val="000000"/>
                <w:sz w:val="20"/>
              </w:rPr>
              <w:t>
      </w:t>
            </w:r>
            <w:r>
              <w:rPr>
                <w:rFonts w:ascii="Times New Roman"/>
                <w:b w:val="false"/>
                <w:i/>
                <w:color w:val="000000"/>
                <w:sz w:val="20"/>
              </w:rPr>
              <w:t>городского маслихата</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Лощинин</w:t>
            </w:r>
          </w:p>
        </w:tc>
      </w:tr>
    </w:tbl>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p>
    <w:p>
      <w:pPr>
        <w:spacing w:after="0"/>
        <w:ind w:left="0"/>
        <w:jc w:val="both"/>
      </w:pPr>
      <w:r>
        <w:rPr>
          <w:rFonts w:ascii="Times New Roman"/>
          <w:b w:val="false"/>
          <w:i/>
          <w:color w:val="000000"/>
          <w:sz w:val="28"/>
        </w:rPr>
        <w:t>      Руководитель</w:t>
      </w:r>
      <w:r>
        <w:rPr>
          <w:rFonts w:ascii="Times New Roman"/>
          <w:b w:val="false"/>
          <w:i/>
          <w:color w:val="000000"/>
          <w:sz w:val="28"/>
        </w:rPr>
        <w:t xml:space="preserve">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 городской</w:t>
      </w:r>
      <w:r>
        <w:br/>
      </w:r>
      <w:r>
        <w:rPr>
          <w:rFonts w:ascii="Times New Roman"/>
          <w:b w:val="false"/>
          <w:i w:val="false"/>
          <w:color w:val="000000"/>
          <w:sz w:val="28"/>
        </w:rPr>
        <w:t>
</w:t>
      </w:r>
      <w:r>
        <w:rPr>
          <w:rFonts w:ascii="Times New Roman"/>
          <w:b w:val="false"/>
          <w:i/>
          <w:color w:val="000000"/>
          <w:sz w:val="28"/>
        </w:rPr>
        <w:t>      отдел занятости и социальных программ»</w:t>
      </w:r>
      <w:r>
        <w:br/>
      </w:r>
      <w:r>
        <w:rPr>
          <w:rFonts w:ascii="Times New Roman"/>
          <w:b w:val="false"/>
          <w:i w:val="false"/>
          <w:color w:val="000000"/>
          <w:sz w:val="28"/>
        </w:rPr>
        <w:t>
</w:t>
      </w:r>
      <w:r>
        <w:rPr>
          <w:rFonts w:ascii="Times New Roman"/>
          <w:b w:val="false"/>
          <w:i/>
          <w:color w:val="000000"/>
          <w:sz w:val="28"/>
        </w:rPr>
        <w:t>      _____________________C. Костина</w:t>
      </w:r>
      <w:r>
        <w:br/>
      </w:r>
      <w:r>
        <w:rPr>
          <w:rFonts w:ascii="Times New Roman"/>
          <w:b w:val="false"/>
          <w:i w:val="false"/>
          <w:color w:val="000000"/>
          <w:sz w:val="28"/>
        </w:rPr>
        <w:t>
</w:t>
      </w:r>
      <w:r>
        <w:rPr>
          <w:rFonts w:ascii="Times New Roman"/>
          <w:b w:val="false"/>
          <w:i/>
          <w:color w:val="000000"/>
          <w:sz w:val="28"/>
        </w:rPr>
        <w:t>                             6.02.2015г.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Утверждены</w:t>
            </w:r>
            <w:r>
              <w:br/>
            </w:r>
            <w:r>
              <w:rPr>
                <w:rFonts w:ascii="Times New Roman"/>
                <w:b w:val="false"/>
                <w:i w:val="false"/>
                <w:color w:val="000000"/>
                <w:sz w:val="20"/>
              </w:rPr>
              <w:t>
решением маслихата</w:t>
            </w:r>
            <w:r>
              <w:br/>
            </w:r>
            <w:r>
              <w:rPr>
                <w:rFonts w:ascii="Times New Roman"/>
                <w:b w:val="false"/>
                <w:i w:val="false"/>
                <w:color w:val="000000"/>
                <w:sz w:val="20"/>
              </w:rPr>
              <w:t>
от 6 февраля 2015 года</w:t>
            </w:r>
            <w:r>
              <w:br/>
            </w:r>
            <w:r>
              <w:rPr>
                <w:rFonts w:ascii="Times New Roman"/>
                <w:b w:val="false"/>
                <w:i w:val="false"/>
                <w:color w:val="000000"/>
                <w:sz w:val="20"/>
              </w:rPr>
              <w:t>
№ 363</w:t>
            </w:r>
          </w:p>
          <w:bookmarkEnd w:id="4"/>
        </w:tc>
      </w:tr>
    </w:tbl>
    <w:bookmarkStart w:name="z10" w:id="5"/>
    <w:p>
      <w:pPr>
        <w:spacing w:after="0"/>
        <w:ind w:left="0"/>
        <w:jc w:val="left"/>
      </w:pPr>
      <w:r>
        <w:rPr>
          <w:rFonts w:ascii="Times New Roman"/>
          <w:b/>
          <w:i w:val="false"/>
          <w:color w:val="000000"/>
        </w:rPr>
        <w:t xml:space="preserve"> 
Правила оказания жилищной помощи</w:t>
      </w:r>
    </w:p>
    <w:bookmarkEnd w:id="5"/>
    <w:bookmarkStart w:name="z11" w:id="6"/>
    <w:p>
      <w:pPr>
        <w:spacing w:after="0"/>
        <w:ind w:left="0"/>
        <w:jc w:val="left"/>
      </w:pPr>
      <w:r>
        <w:rPr>
          <w:rFonts w:ascii="Times New Roman"/>
          <w:b/>
          <w:i w:val="false"/>
          <w:color w:val="000000"/>
        </w:rPr>
        <w:t xml:space="preserve"> 
1. Порядок оказания жилищной помощи</w:t>
      </w:r>
    </w:p>
    <w:bookmarkEnd w:id="6"/>
    <w:bookmarkStart w:name="z12" w:id="7"/>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городе Рудном, поселках Качар, Горняцкий, селе Перцевка на оплату:</w:t>
      </w:r>
      <w:r>
        <w:br/>
      </w:r>
      <w:r>
        <w:rPr>
          <w:rFonts w:ascii="Times New Roman"/>
          <w:b w:val="false"/>
          <w:i w:val="false"/>
          <w:color w:val="000000"/>
          <w:sz w:val="28"/>
        </w:rPr>
        <w:t>
</w:t>
      </w: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2. Жилищная помощь назначается ежеквартально государственным учреждением "Рудненский городской отдел занятости и социальных программ" (далее – уполномоченный орган).</w:t>
      </w:r>
      <w:r>
        <w:br/>
      </w:r>
      <w:r>
        <w:rPr>
          <w:rFonts w:ascii="Times New Roman"/>
          <w:b w:val="false"/>
          <w:i w:val="false"/>
          <w:color w:val="000000"/>
          <w:sz w:val="28"/>
        </w:rPr>
        <w:t>
</w:t>
      </w:r>
      <w:r>
        <w:rPr>
          <w:rFonts w:ascii="Times New Roman"/>
          <w:b w:val="false"/>
          <w:i w:val="false"/>
          <w:color w:val="000000"/>
          <w:sz w:val="28"/>
        </w:rPr>
        <w:t>
      Для назначения жилищной помощи семья (гражданин) обращается в Рудненский отдел филиала республиканского государственного предприятия "Центр обслуживания населения" по Костанайской области (далее – ЦОН) либо веб-портал "электронного правительства" www.egov.kz (далее – портал) на альтернативной основе с заявлением и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w:t>
      </w:r>
      <w:r>
        <w:br/>
      </w:r>
      <w:r>
        <w:rPr>
          <w:rFonts w:ascii="Times New Roman"/>
          <w:b w:val="false"/>
          <w:i w:val="false"/>
          <w:color w:val="000000"/>
          <w:sz w:val="28"/>
        </w:rPr>
        <w:t>
</w:t>
      </w:r>
      <w:r>
        <w:rPr>
          <w:rFonts w:ascii="Times New Roman"/>
          <w:b w:val="false"/>
          <w:i w:val="false"/>
          <w:color w:val="000000"/>
          <w:sz w:val="28"/>
        </w:rPr>
        <w:t>
      3. Уполномоченный орган предоставляет результат оказания жилищной помощи с момента сдачи пакета документов в ЦОН, а также при обращении на портал – 10 (десять) календарных дней.</w:t>
      </w:r>
      <w:r>
        <w:br/>
      </w:r>
      <w:r>
        <w:rPr>
          <w:rFonts w:ascii="Times New Roman"/>
          <w:b w:val="false"/>
          <w:i w:val="false"/>
          <w:color w:val="000000"/>
          <w:sz w:val="28"/>
        </w:rPr>
        <w:t>
</w:t>
      </w:r>
      <w:r>
        <w:rPr>
          <w:rFonts w:ascii="Times New Roman"/>
          <w:b w:val="false"/>
          <w:i w:val="false"/>
          <w:color w:val="000000"/>
          <w:sz w:val="28"/>
        </w:rPr>
        <w:t>
      День сдачи пакета документов в ЦОН не входит в срок оказания жилищной помощи, при этом уполномоченный орган предоставляет результат оказания жилищной помощи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Услугополучателям, впервые обратившимся в соответствующем году, жилищная помощь назначается с месяца подачи заявления, но не ранее наступления обстоятельств, послуживших основанием для назначения жилищной помощи.</w:t>
      </w:r>
      <w:r>
        <w:br/>
      </w:r>
      <w:r>
        <w:rPr>
          <w:rFonts w:ascii="Times New Roman"/>
          <w:b w:val="false"/>
          <w:i w:val="false"/>
          <w:color w:val="000000"/>
          <w:sz w:val="28"/>
        </w:rPr>
        <w:t>
</w:t>
      </w:r>
      <w:r>
        <w:rPr>
          <w:rFonts w:ascii="Times New Roman"/>
          <w:b w:val="false"/>
          <w:i w:val="false"/>
          <w:color w:val="000000"/>
          <w:sz w:val="28"/>
        </w:rPr>
        <w:t>
      При повторном обращении жилищная помощь назначается на весь соответствующий квартал.</w:t>
      </w:r>
      <w:r>
        <w:br/>
      </w:r>
      <w:r>
        <w:rPr>
          <w:rFonts w:ascii="Times New Roman"/>
          <w:b w:val="false"/>
          <w:i w:val="false"/>
          <w:color w:val="000000"/>
          <w:sz w:val="28"/>
        </w:rPr>
        <w:t>
</w:t>
      </w:r>
      <w:r>
        <w:rPr>
          <w:rFonts w:ascii="Times New Roman"/>
          <w:b w:val="false"/>
          <w:i w:val="false"/>
          <w:color w:val="000000"/>
          <w:sz w:val="28"/>
        </w:rPr>
        <w:t>
      5. Услугополучатель жилищной помощи информирует уполномоченный орган об обстоятельствах, которые могут служить основанием для изменения размера жилищной помощи, а также о случаях еҰ неверного начисления.</w:t>
      </w:r>
      <w:r>
        <w:br/>
      </w:r>
      <w:r>
        <w:rPr>
          <w:rFonts w:ascii="Times New Roman"/>
          <w:b w:val="false"/>
          <w:i w:val="false"/>
          <w:color w:val="000000"/>
          <w:sz w:val="28"/>
        </w:rPr>
        <w:t>
</w:t>
      </w:r>
      <w:r>
        <w:rPr>
          <w:rFonts w:ascii="Times New Roman"/>
          <w:b w:val="false"/>
          <w:i w:val="false"/>
          <w:color w:val="000000"/>
          <w:sz w:val="28"/>
        </w:rPr>
        <w:t>
      6. При возникновении обстоятельств, влияющих на размер жилищной помощи, производится перерасчет со дня наступления указанных обстоятельств (за исключением смерти услугополучателя).</w:t>
      </w:r>
      <w:r>
        <w:br/>
      </w:r>
      <w:r>
        <w:rPr>
          <w:rFonts w:ascii="Times New Roman"/>
          <w:b w:val="false"/>
          <w:i w:val="false"/>
          <w:color w:val="000000"/>
          <w:sz w:val="28"/>
        </w:rPr>
        <w:t>
</w:t>
      </w:r>
      <w:r>
        <w:rPr>
          <w:rFonts w:ascii="Times New Roman"/>
          <w:b w:val="false"/>
          <w:i w:val="false"/>
          <w:color w:val="000000"/>
          <w:sz w:val="28"/>
        </w:rPr>
        <w:t>
      7. Излишне выплаченные суммы подлежат возврату в бюджет, а в случае отказа услугополучателем возвратить в добровольном порядке, уполномоченный орган взыскивает перечисленные выплаты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8. В случае выявления несоответствия доходов представленных услугополучателем учитываются сведения о доходах, полученных из информационных систем.</w:t>
      </w:r>
      <w:r>
        <w:br/>
      </w:r>
      <w:r>
        <w:rPr>
          <w:rFonts w:ascii="Times New Roman"/>
          <w:b w:val="false"/>
          <w:i w:val="false"/>
          <w:color w:val="000000"/>
          <w:sz w:val="28"/>
        </w:rPr>
        <w:t>
</w:t>
      </w:r>
      <w:r>
        <w:rPr>
          <w:rFonts w:ascii="Times New Roman"/>
          <w:b w:val="false"/>
          <w:i w:val="false"/>
          <w:color w:val="000000"/>
          <w:sz w:val="28"/>
        </w:rPr>
        <w:t xml:space="preserve">
      9. В случае смерти одиноко проживающего услугополучателя жилищной помощи выплата жилищной помощи завершается с месяца, следующего за месяцем смерти. </w:t>
      </w:r>
      <w:r>
        <w:br/>
      </w:r>
      <w:r>
        <w:rPr>
          <w:rFonts w:ascii="Times New Roman"/>
          <w:b w:val="false"/>
          <w:i w:val="false"/>
          <w:color w:val="000000"/>
          <w:sz w:val="28"/>
        </w:rPr>
        <w:t>
</w:t>
      </w:r>
      <w:r>
        <w:rPr>
          <w:rFonts w:ascii="Times New Roman"/>
          <w:b w:val="false"/>
          <w:i w:val="false"/>
          <w:color w:val="000000"/>
          <w:sz w:val="28"/>
        </w:rPr>
        <w:t>
      В случае смерти одного из членов семьи услугополучателя жилищной помощи, производится перерасчет с месяца, следующего за месяцем смерти.</w:t>
      </w:r>
      <w:r>
        <w:br/>
      </w:r>
      <w:r>
        <w:rPr>
          <w:rFonts w:ascii="Times New Roman"/>
          <w:b w:val="false"/>
          <w:i w:val="false"/>
          <w:color w:val="000000"/>
          <w:sz w:val="28"/>
        </w:rPr>
        <w:t>
</w:t>
      </w:r>
      <w:r>
        <w:rPr>
          <w:rFonts w:ascii="Times New Roman"/>
          <w:b w:val="false"/>
          <w:i w:val="false"/>
          <w:color w:val="000000"/>
          <w:sz w:val="28"/>
        </w:rPr>
        <w:t>
      Прекращение либо перерасчет выплат в связи со смертью производится на основании списка умерших или по сведениям предоставленными членами семьи.</w:t>
      </w:r>
      <w:r>
        <w:br/>
      </w:r>
      <w:r>
        <w:rPr>
          <w:rFonts w:ascii="Times New Roman"/>
          <w:b w:val="false"/>
          <w:i w:val="false"/>
          <w:color w:val="000000"/>
          <w:sz w:val="28"/>
        </w:rPr>
        <w:t>
</w:t>
      </w:r>
      <w:r>
        <w:rPr>
          <w:rFonts w:ascii="Times New Roman"/>
          <w:b w:val="false"/>
          <w:i w:val="false"/>
          <w:color w:val="000000"/>
          <w:sz w:val="28"/>
        </w:rPr>
        <w:t>
      10. Разногласия, возникшие по вопросам оказания жилищной помощи, разрешаются в соответствии с действующим законодательством Республики Казахстан.</w:t>
      </w:r>
      <w:r>
        <w:br/>
      </w:r>
      <w:r>
        <w:rPr>
          <w:rFonts w:ascii="Times New Roman"/>
          <w:b w:val="false"/>
          <w:i w:val="false"/>
          <w:color w:val="000000"/>
          <w:sz w:val="28"/>
        </w:rPr>
        <w:t>
 </w:t>
      </w:r>
    </w:p>
    <w:bookmarkEnd w:id="7"/>
    <w:bookmarkStart w:name="z30" w:id="8"/>
    <w:p>
      <w:pPr>
        <w:spacing w:after="0"/>
        <w:ind w:left="0"/>
        <w:jc w:val="left"/>
      </w:pPr>
      <w:r>
        <w:rPr>
          <w:rFonts w:ascii="Times New Roman"/>
          <w:b/>
          <w:i w:val="false"/>
          <w:color w:val="000000"/>
        </w:rPr>
        <w:t xml:space="preserve"> 
2. Определение размера оказания жилищной помощи</w:t>
      </w:r>
    </w:p>
    <w:bookmarkEnd w:id="8"/>
    <w:bookmarkStart w:name="z31" w:id="9"/>
    <w:p>
      <w:pPr>
        <w:spacing w:after="0"/>
        <w:ind w:left="0"/>
        <w:jc w:val="both"/>
      </w:pPr>
      <w:r>
        <w:rPr>
          <w:rFonts w:ascii="Times New Roman"/>
          <w:b w:val="false"/>
          <w:i w:val="false"/>
          <w:color w:val="000000"/>
          <w:sz w:val="28"/>
        </w:rPr>
        <w:t>
      11. Размер оказания жилищной помощи определяется уполномоченным органом, исходя из совокупного дохода семьи или дохода гражданина,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12. Совокупный доход семьи (гражданина) исчисляется из общей суммы доходов семьи (гражданина)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13. Доля предельно допустимых расходов в пределах установленных норм устанавливается в размере 10 процентов от совокупного дохода.</w:t>
      </w:r>
      <w:r>
        <w:br/>
      </w:r>
      <w:r>
        <w:rPr>
          <w:rFonts w:ascii="Times New Roman"/>
          <w:b w:val="false"/>
          <w:i w:val="false"/>
          <w:color w:val="000000"/>
          <w:sz w:val="28"/>
        </w:rPr>
        <w:t>
</w:t>
      </w:r>
      <w:r>
        <w:rPr>
          <w:rFonts w:ascii="Times New Roman"/>
          <w:b w:val="false"/>
          <w:i w:val="false"/>
          <w:color w:val="000000"/>
          <w:sz w:val="28"/>
        </w:rPr>
        <w:t>
      14. При назначении жилищной помощи в расчет принимается норма площади:</w:t>
      </w:r>
      <w:r>
        <w:br/>
      </w:r>
      <w:r>
        <w:rPr>
          <w:rFonts w:ascii="Times New Roman"/>
          <w:b w:val="false"/>
          <w:i w:val="false"/>
          <w:color w:val="000000"/>
          <w:sz w:val="28"/>
        </w:rPr>
        <w:t>
</w:t>
      </w:r>
      <w:r>
        <w:rPr>
          <w:rFonts w:ascii="Times New Roman"/>
          <w:b w:val="false"/>
          <w:i w:val="false"/>
          <w:color w:val="000000"/>
          <w:sz w:val="28"/>
        </w:rPr>
        <w:t>
      1) на одного члена семьи – 18 квадратных метров полезной площади, плюс 9 квадратных метров на семью, для проживающих в многокомнатных жилых помещениях (квартирах); для проживающих в однокомнатных жилых помещениях (квартирах) – общая площадь жилища;</w:t>
      </w:r>
      <w:r>
        <w:br/>
      </w:r>
      <w:r>
        <w:rPr>
          <w:rFonts w:ascii="Times New Roman"/>
          <w:b w:val="false"/>
          <w:i w:val="false"/>
          <w:color w:val="000000"/>
          <w:sz w:val="28"/>
        </w:rPr>
        <w:t>
</w:t>
      </w:r>
      <w:r>
        <w:rPr>
          <w:rFonts w:ascii="Times New Roman"/>
          <w:b w:val="false"/>
          <w:i w:val="false"/>
          <w:color w:val="000000"/>
          <w:sz w:val="28"/>
        </w:rPr>
        <w:t>
      2) для одиноко проживающих граждан – 30 квадратных метров независимо от занимаемой площади, но не более фактической, эта же норма применяется для общежитий.</w:t>
      </w:r>
      <w:r>
        <w:br/>
      </w:r>
      <w:r>
        <w:rPr>
          <w:rFonts w:ascii="Times New Roman"/>
          <w:b w:val="false"/>
          <w:i w:val="false"/>
          <w:color w:val="000000"/>
          <w:sz w:val="28"/>
        </w:rPr>
        <w:t>
</w:t>
      </w:r>
      <w:r>
        <w:rPr>
          <w:rFonts w:ascii="Times New Roman"/>
          <w:b w:val="false"/>
          <w:i w:val="false"/>
          <w:color w:val="000000"/>
          <w:sz w:val="28"/>
        </w:rPr>
        <w:t>
      15. Нормативы потребления коммунальных услуг, обеспечиваемых компенсационными мерами для потребителей, не имеющих приборов учета, устанавливаются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Если нормативы и тарифы на расходы не определены в установленном законодательством порядке, возмещение затрат производится по фактическим расходам.</w:t>
      </w:r>
      <w:r>
        <w:br/>
      </w:r>
      <w:r>
        <w:rPr>
          <w:rFonts w:ascii="Times New Roman"/>
          <w:b w:val="false"/>
          <w:i w:val="false"/>
          <w:color w:val="000000"/>
          <w:sz w:val="28"/>
        </w:rPr>
        <w:t>
</w:t>
      </w:r>
      <w:r>
        <w:rPr>
          <w:rFonts w:ascii="Times New Roman"/>
          <w:b w:val="false"/>
          <w:i w:val="false"/>
          <w:color w:val="000000"/>
          <w:sz w:val="28"/>
        </w:rPr>
        <w:t>
      16. Расходы, принимаемые к расчету, предоставляются за квартал, предшествующий кварталу обращения.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 расхода коммунальных услуг для потребителей, не имеющих прибора учета.</w:t>
      </w:r>
      <w:r>
        <w:br/>
      </w:r>
      <w:r>
        <w:rPr>
          <w:rFonts w:ascii="Times New Roman"/>
          <w:b w:val="false"/>
          <w:i w:val="false"/>
          <w:color w:val="000000"/>
          <w:sz w:val="28"/>
        </w:rPr>
        <w:t>
</w:t>
      </w:r>
      <w:r>
        <w:rPr>
          <w:rFonts w:ascii="Times New Roman"/>
          <w:b w:val="false"/>
          <w:i w:val="false"/>
          <w:color w:val="000000"/>
          <w:sz w:val="28"/>
        </w:rPr>
        <w:t>
      17. Возмещение расходов по оплате электроэнергии производятся из расчета 100 киловатт на одного человека, в общежитиях и в домах с электрической плитой, электрическими водонагревателями 130 киловатт на одного человека, но не более фактических расходов.</w:t>
      </w:r>
      <w:r>
        <w:br/>
      </w:r>
      <w:r>
        <w:rPr>
          <w:rFonts w:ascii="Times New Roman"/>
          <w:b w:val="false"/>
          <w:i w:val="false"/>
          <w:color w:val="000000"/>
          <w:sz w:val="28"/>
        </w:rPr>
        <w:t>
</w:t>
      </w:r>
      <w:r>
        <w:rPr>
          <w:rFonts w:ascii="Times New Roman"/>
          <w:b w:val="false"/>
          <w:i w:val="false"/>
          <w:color w:val="000000"/>
          <w:sz w:val="28"/>
        </w:rPr>
        <w:t>
      18.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r>
        <w:rPr>
          <w:rFonts w:ascii="Times New Roman"/>
          <w:b w:val="false"/>
          <w:i w:val="false"/>
          <w:color w:val="000000"/>
          <w:sz w:val="28"/>
        </w:rPr>
        <w:t>
      19. Оплата сверх установленных настоящими </w:t>
      </w:r>
      <w:r>
        <w:rPr>
          <w:rFonts w:ascii="Times New Roman"/>
          <w:b w:val="false"/>
          <w:i w:val="false"/>
          <w:color w:val="000000"/>
          <w:sz w:val="28"/>
        </w:rPr>
        <w:t>Правилами</w:t>
      </w:r>
      <w:r>
        <w:rPr>
          <w:rFonts w:ascii="Times New Roman"/>
          <w:b w:val="false"/>
          <w:i w:val="false"/>
          <w:color w:val="000000"/>
          <w:sz w:val="28"/>
        </w:rPr>
        <w:t xml:space="preserve"> норм производится собственниками или нанимателями (поднанимателями) жилья на общих основаниях.</w:t>
      </w:r>
      <w:r>
        <w:br/>
      </w:r>
      <w:r>
        <w:rPr>
          <w:rFonts w:ascii="Times New Roman"/>
          <w:b w:val="false"/>
          <w:i w:val="false"/>
          <w:color w:val="000000"/>
          <w:sz w:val="28"/>
        </w:rPr>
        <w:t>
 </w:t>
      </w:r>
    </w:p>
    <w:bookmarkEnd w:id="9"/>
    <w:bookmarkStart w:name="z43" w:id="10"/>
    <w:p>
      <w:pPr>
        <w:spacing w:after="0"/>
        <w:ind w:left="0"/>
        <w:jc w:val="left"/>
      </w:pPr>
      <w:r>
        <w:rPr>
          <w:rFonts w:ascii="Times New Roman"/>
          <w:b/>
          <w:i w:val="false"/>
          <w:color w:val="000000"/>
        </w:rPr>
        <w:t xml:space="preserve"> 
3. Финансирование и порядок выплаты жилищной помощи</w:t>
      </w:r>
    </w:p>
    <w:bookmarkEnd w:id="10"/>
    <w:bookmarkStart w:name="z44" w:id="11"/>
    <w:p>
      <w:pPr>
        <w:spacing w:after="0"/>
        <w:ind w:left="0"/>
        <w:jc w:val="both"/>
      </w:pPr>
      <w:r>
        <w:rPr>
          <w:rFonts w:ascii="Times New Roman"/>
          <w:b w:val="false"/>
          <w:i w:val="false"/>
          <w:color w:val="000000"/>
          <w:sz w:val="28"/>
        </w:rPr>
        <w:t>
      20. Финансирование жилищной помощи осуществляется за счет средств соответствующего местного бюджета, а также за счет средств целевых текущих трансфертов (в случае их выделения).</w:t>
      </w:r>
      <w:r>
        <w:br/>
      </w:r>
      <w:r>
        <w:rPr>
          <w:rFonts w:ascii="Times New Roman"/>
          <w:b w:val="false"/>
          <w:i w:val="false"/>
          <w:color w:val="000000"/>
          <w:sz w:val="28"/>
        </w:rPr>
        <w:t>
</w:t>
      </w:r>
      <w:r>
        <w:rPr>
          <w:rFonts w:ascii="Times New Roman"/>
          <w:b w:val="false"/>
          <w:i w:val="false"/>
          <w:color w:val="000000"/>
          <w:sz w:val="28"/>
        </w:rPr>
        <w:t>
      21. Выплата жилищной помощи осуществляется уполномоченным органом по заявлению услугополучателя жилищной помощи через банки второго уровня или организации, имеющие лицензии на соответствующие виды банковских операций, путем зачисления назначенных сумм на лицевые счета услугополучателя жилищной помощи либо поставщиков услуг или органов управления объектов кондоминиума.</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