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8be1" w14:textId="b688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05 февраля 2015 года № 239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9 сентября 2015 года № 2387. Зарегистрировано Департаментом юстиции Костанайской области 30 сентября 2015 года № 5918. Утратило силу постановлением акимата города Костаная Костанайской области от 25 декабря 2015 года № 3594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Костаная Костанайской области от 25.12.2015 </w:t>
      </w:r>
      <w:r>
        <w:rPr>
          <w:rFonts w:ascii="Times New Roman"/>
          <w:b w:val="false"/>
          <w:i w:val="false"/>
          <w:color w:val="ff0000"/>
          <w:sz w:val="28"/>
        </w:rPr>
        <w:t>№ 3594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01.11.2015).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от 05 февраля 2015 года № 239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год» (зарегистрированного в Реестре государственной регистрации нормативных правовых актов под № 5384, опубликовано 17 марта 2015 года в газете «Наш Костанай»)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Костаная Каркенова Р.Х.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                          К. Сандибеков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риложение №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города Костаная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сентября 2015 года № 2387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города Костаная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2015 года № 239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размер подушевого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и родительской платы в дошкольных организациях</w:t>
      </w:r>
      <w:r>
        <w:br/>
      </w:r>
      <w:r>
        <w:rPr>
          <w:rFonts w:ascii="Times New Roman"/>
          <w:b/>
          <w:i w:val="false"/>
          <w:color w:val="000000"/>
        </w:rPr>
        <w:t>
образования города Костаная на 2015 год, финансируемых</w:t>
      </w:r>
      <w:r>
        <w:br/>
      </w:r>
      <w:r>
        <w:rPr>
          <w:rFonts w:ascii="Times New Roman"/>
          <w:b/>
          <w:i w:val="false"/>
          <w:color w:val="000000"/>
        </w:rPr>
        <w:t>
за счет средств республиканского бюджета.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1157"/>
        <w:gridCol w:w="807"/>
        <w:gridCol w:w="784"/>
        <w:gridCol w:w="1064"/>
        <w:gridCol w:w="1134"/>
        <w:gridCol w:w="948"/>
        <w:gridCol w:w="1204"/>
        <w:gridCol w:w="1438"/>
        <w:gridCol w:w="668"/>
        <w:gridCol w:w="1065"/>
        <w:gridCol w:w="1253"/>
      </w:tblGrid>
      <w:tr>
        <w:trPr>
          <w:trHeight w:val="705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Мини-центры, организованные на базе организаций образования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Мини-центры, организованные на базе организаций образования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Мини-центры, организованные на базе организаций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ясельные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3-х лет)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группы (от 3-6 лет)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