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618f" w14:textId="0006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октября 2015 года № 450. Зарегистрировано Департаментом юстиции Костанайской области 24 ноября 2015 года № 6014. Утратило силу постановлением акимата Костанайской области от 1 июня 2017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01.06.2017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450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лицензии на осуществление</w:t>
      </w:r>
      <w:r>
        <w:rPr>
          <w:rFonts w:ascii="Times New Roman"/>
          <w:b/>
          <w:i w:val="false"/>
          <w:color w:val="000000"/>
        </w:rPr>
        <w:t xml:space="preserve"> деятельности по сбору (заготовке),</w:t>
      </w:r>
      <w:r>
        <w:rPr>
          <w:rFonts w:ascii="Times New Roman"/>
          <w:b/>
          <w:i w:val="false"/>
          <w:color w:val="000000"/>
        </w:rPr>
        <w:t xml:space="preserve"> хранению, переработке и реализации</w:t>
      </w:r>
      <w:r>
        <w:rPr>
          <w:rFonts w:ascii="Times New Roman"/>
          <w:b/>
          <w:i w:val="false"/>
          <w:color w:val="000000"/>
        </w:rPr>
        <w:t xml:space="preserve"> юридическими лицами лома и отходов</w:t>
      </w:r>
      <w:r>
        <w:rPr>
          <w:rFonts w:ascii="Times New Roman"/>
          <w:b/>
          <w:i w:val="false"/>
          <w:color w:val="000000"/>
        </w:rPr>
        <w:t xml:space="preserve"> цветных и черных металлов"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результата оказания государственной услуги осуществляется через: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веб-портал "электронного правительства" www.egov.kz или веб-портал www.elicense.kz (далее – Портал) 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приложение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промышленности и экспортного контроля" (далее – Стандарт).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электронная.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rPr>
          <w:rFonts w:ascii="Times New Roman"/>
          <w:b/>
          <w:i w:val="false"/>
          <w:color w:val="000000"/>
        </w:rPr>
        <w:t xml:space="preserve"> структурных подразделений (работников)</w:t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принятие услугодателем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</w:t>
      </w:r>
      <w:r>
        <w:rPr>
          <w:rFonts w:ascii="Times New Roman"/>
          <w:b w:val="false"/>
          <w:i w:val="false"/>
          <w:color w:val="000000"/>
          <w:sz w:val="28"/>
        </w:rPr>
        <w:t>либо заявление в форме электронного документа, удостоверенного ЭЦП услугополучателя.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осуществляет его регистрацию и передает пакет документов руководителю услугодателя, 10 (десять) минут.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отметка на копии заявления о регистрации в канцелярии услугодателя с указанием даты и времени приема пакета документов;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пакетом документов и определяет ответственного исполнителя услугодателя, 5 (пять) минут.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виза руководителя услугодателя;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представленного пакета документов и подготавливает проект результата оказания государственной услуги: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 15 (пятнадцать) рабочих дней;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– 3 (три) рабочих дня;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в случае реорганизации услугополучателя в форме выделения или разделения 15(пятнадцать) рабочих дней;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дубликатов лицензии и (или) приложения к лицензии – 2 (два) рабочих дня.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в течении двух рабочих дней с момента получения документов услугополучателя проверяет полноту представленного пакета документов.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представленного пакета документов ответственный исполнитель в указанные сроки дает письменный мотивированный отказ в дальнейшем рассмотрении заявления.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проект результата оказания государственной услуги;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 и передает сотруднику канцелярии, 5 (пять) минут.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- подписанный результат оказания государственной услуги;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– выданный результат оказания государственной услуги.</w:t>
      </w:r>
    </w:p>
    <w:bookmarkEnd w:id="29"/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rPr>
          <w:rFonts w:ascii="Times New Roman"/>
          <w:b/>
          <w:i w:val="false"/>
          <w:color w:val="000000"/>
        </w:rPr>
        <w:t xml:space="preserve"> структурных подразделении (работников)</w:t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осуществляет его регистрацию и передает пакет документов руководителю услугодателя, 10 (десять) минут.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пакетом документов и определяет ответственного исполнителя услугодателя, 5 (пять) минут.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представленного пакета документов и подготавливает проект результата оказания государственной услуги: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 15 (пятнадцать) рабочих дней;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– 3 (три) рабочих дня;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дубликатов лицензии и (или) приложения к лицензии – 2 (два) рабочих дня.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в течении двух рабочих дней с момента получения документов услугополучателя проверяет полноту представленного пакета документов.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представленного пакета документов ответственный исполнитель в указанные сроки дает письменный мотивированный отказ в дальнейшем рассмотрении заявления.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 и передает сотруднику канцелярии, 5 (пять) минут;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46"/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rPr>
          <w:rFonts w:ascii="Times New Roman"/>
          <w:b/>
          <w:i w:val="false"/>
          <w:color w:val="000000"/>
        </w:rPr>
        <w:t xml:space="preserve"> центром обслуживания населения и (или)</w:t>
      </w:r>
      <w:r>
        <w:rPr>
          <w:rFonts w:ascii="Times New Roman"/>
          <w:b/>
          <w:i w:val="false"/>
          <w:color w:val="000000"/>
        </w:rPr>
        <w:t xml:space="preserve"> иными услугодателями, а также порядка</w:t>
      </w:r>
      <w:r>
        <w:rPr>
          <w:rFonts w:ascii="Times New Roman"/>
          <w:b/>
          <w:i w:val="false"/>
          <w:color w:val="000000"/>
        </w:rPr>
        <w:t xml:space="preserve"> использования информационных систем в</w:t>
      </w:r>
      <w:r>
        <w:rPr>
          <w:rFonts w:ascii="Times New Roman"/>
          <w:b/>
          <w:i w:val="false"/>
          <w:color w:val="000000"/>
        </w:rPr>
        <w:t xml:space="preserve"> процессе оказания государственной услуги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регистрацию, авторизацию на портале посредством ЭЦП;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оказания государственной услуги через портал в "личном кабинете" услугополучателя;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через филиал Республиканского государственного предприятия "Центр обслуживания населения" по Костанайской области и его отделы в городах и районах не оказывается.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(заготовке),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металлов"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rPr>
          <w:rFonts w:ascii="Times New Roman"/>
          <w:b/>
          <w:i w:val="false"/>
          <w:color w:val="000000"/>
        </w:rPr>
        <w:t xml:space="preserve"> информационных систем, задействованных в</w:t>
      </w:r>
      <w:r>
        <w:rPr>
          <w:rFonts w:ascii="Times New Roman"/>
          <w:b/>
          <w:i w:val="false"/>
          <w:color w:val="000000"/>
        </w:rPr>
        <w:t xml:space="preserve"> оказании государственной услуги через Портал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(заготовке),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металлов"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 "Выдача лицензии</w:t>
      </w:r>
      <w:r>
        <w:rPr>
          <w:rFonts w:ascii="Times New Roman"/>
          <w:b/>
          <w:i w:val="false"/>
          <w:color w:val="000000"/>
        </w:rPr>
        <w:t xml:space="preserve"> на осуществление деятельности по сбору</w:t>
      </w:r>
      <w:r>
        <w:rPr>
          <w:rFonts w:ascii="Times New Roman"/>
          <w:b/>
          <w:i w:val="false"/>
          <w:color w:val="000000"/>
        </w:rPr>
        <w:t xml:space="preserve"> (заготовке), хранению, переработке и</w:t>
      </w:r>
      <w:r>
        <w:rPr>
          <w:rFonts w:ascii="Times New Roman"/>
          <w:b/>
          <w:i w:val="false"/>
          <w:color w:val="000000"/>
        </w:rPr>
        <w:t xml:space="preserve"> реализации юридическими лицами лома и</w:t>
      </w:r>
      <w:r>
        <w:rPr>
          <w:rFonts w:ascii="Times New Roman"/>
          <w:b/>
          <w:i w:val="false"/>
          <w:color w:val="000000"/>
        </w:rPr>
        <w:t xml:space="preserve"> отходов цветных и черных металлов"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