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f24" w14:textId="12e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2015 года № 436. Зарегистрировано Департаментом юстиции Костанайской области 19 ноября 2015 года № 6007. Утратило силу постановлением акимата Костанайской области от 16 июня 2016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2015 года № 436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изданий, распространяемых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"Учет иностранных периодических печатных изданий, распространяемых на территории области, города республиканского значения, столицы" (далее – государственная услуга) оказывается местным исполнительным органом области (государственным учреждением "Управление внутренней политики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"Центр обслуживания населения" по Костанайской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Прием заявления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Прием заявления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Основанием для начала действия по оказанию государственной услуги при обращении в ЦОН является принятие работником ЦОНа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информации" (далее – Стандарт)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проверяет правильность заполнения заявления, полноту пакета документов,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письменную расписку о приеме пакета документов,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ЦОНа подготавливает пакет документов и направляет его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рассматривает пакет документов, подготавливает и направляет в ЦОН результат оказания государственной услуги, 8 (восемь)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ЦОНа в срок, указанный в расписке о приеме пакета документов, выдает результат оказания государственной услуги услугополучателю,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в "личный кабинет" услугополучателя статуса о принятии запроса на государственную услугу, а также уведомления с указанием даты и времени (если выдача на бумажном носителе необходимо указать место получения)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столицы" 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столицы" </w:t>
            </w:r>
          </w:p>
        </w:tc>
      </w:tr>
    </w:tbl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"Учет иностранных</w:t>
      </w:r>
      <w:r>
        <w:br/>
      </w:r>
      <w:r>
        <w:rPr>
          <w:rFonts w:ascii="Times New Roman"/>
          <w:b/>
          <w:i w:val="false"/>
          <w:color w:val="000000"/>
        </w:rPr>
        <w:t>периодических печатных изданий, распространяемых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