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752d" w14:textId="5357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городу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03 июля 2015 года № 30/283. Зарегистрировано Департаментом юстиции Мангистауской области от 27 июля 2015 года № 2784. Утратило силу-решением Актауского городского маслихата Мангистауской области от 21 октября 2016 года № 5/58</w:t>
      </w:r>
    </w:p>
    <w:p>
      <w:pPr>
        <w:spacing w:after="0"/>
        <w:ind w:left="0"/>
        <w:jc w:val="left"/>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21.10.2016 </w:t>
      </w:r>
      <w:r>
        <w:rPr>
          <w:rFonts w:ascii="Times New Roman"/>
          <w:b w:val="false"/>
          <w:i w:val="false"/>
          <w:color w:val="ff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постановлениями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от 16 октября 2014 года </w:t>
      </w:r>
      <w:r>
        <w:rPr>
          <w:rFonts w:ascii="Times New Roman"/>
          <w:b w:val="false"/>
          <w:i w:val="false"/>
          <w:color w:val="000000"/>
          <w:sz w:val="28"/>
        </w:rPr>
        <w:t>№ 1105</w:t>
      </w:r>
      <w:r>
        <w:rPr>
          <w:rFonts w:ascii="Times New Roman"/>
          <w:b w:val="false"/>
          <w:i w:val="false"/>
          <w:color w:val="000000"/>
          <w:sz w:val="28"/>
        </w:rPr>
        <w:t xml:space="preserve"> "Об утверждении Плана мероприятий по подготовке и проведению празднования в Республике Казахстан 70-ой годовщины Победы в Великой Отечественной войне 1941-1945 годов", приказом Министра здравоохранения и социального развития Республики Казахстан от 23 февраля 2015 года </w:t>
      </w:r>
      <w:r>
        <w:rPr>
          <w:rFonts w:ascii="Times New Roman"/>
          <w:b w:val="false"/>
          <w:i w:val="false"/>
          <w:color w:val="000000"/>
          <w:sz w:val="28"/>
        </w:rPr>
        <w:t>№ 88</w:t>
      </w:r>
      <w:r>
        <w:rPr>
          <w:rFonts w:ascii="Times New Roman"/>
          <w:b w:val="false"/>
          <w:i w:val="false"/>
          <w:color w:val="000000"/>
          <w:sz w:val="28"/>
        </w:rPr>
        <w:t xml:space="preserve"> "Об утверждении формы социального контракта активизации семьи и индивидуального плана помощи семье", а также во исполнение писем Министерства здравоохранения и социального развития Республики Казахстан от 01.06.2015 года № 5018 и Департамента юстиции Мангистауской области от 08.06.2015 года № 10-11-2091 Актауский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городу Актау.</w:t>
      </w:r>
      <w:r>
        <w:br/>
      </w:r>
      <w:r>
        <w:rPr>
          <w:rFonts w:ascii="Times New Roman"/>
          <w:b w:val="false"/>
          <w:i w:val="false"/>
          <w:color w:val="000000"/>
          <w:sz w:val="28"/>
        </w:rPr>
        <w:t>
      </w:t>
      </w:r>
      <w:r>
        <w:rPr>
          <w:rFonts w:ascii="Times New Roman"/>
          <w:b w:val="false"/>
          <w:i w:val="false"/>
          <w:color w:val="000000"/>
          <w:sz w:val="28"/>
        </w:rPr>
        <w:t xml:space="preserve">2. Отменить решение городского маслихата от 12 декабря 2013 года </w:t>
      </w:r>
      <w:r>
        <w:rPr>
          <w:rFonts w:ascii="Times New Roman"/>
          <w:b w:val="false"/>
          <w:i w:val="false"/>
          <w:color w:val="000000"/>
          <w:sz w:val="28"/>
        </w:rPr>
        <w:t>№ 16/153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городу Актау" (зарегистрировано в Реестре государственной регистрации нормативных правовых актов за №2337, опубликовано в информационно-правовой системе "Әділет" 17 января 2014 года).</w:t>
      </w:r>
      <w:r>
        <w:br/>
      </w:r>
      <w:r>
        <w:rPr>
          <w:rFonts w:ascii="Times New Roman"/>
          <w:b w:val="false"/>
          <w:i w:val="false"/>
          <w:color w:val="000000"/>
          <w:sz w:val="28"/>
        </w:rPr>
        <w:t>
      </w:t>
      </w:r>
      <w:r>
        <w:rPr>
          <w:rFonts w:ascii="Times New Roman"/>
          <w:b w:val="false"/>
          <w:i w:val="false"/>
          <w:color w:val="000000"/>
          <w:sz w:val="28"/>
        </w:rPr>
        <w:t>3. Руководителю аппарата Актауского городского маслихата (Д.Телегенова) после государственной регистрации в департаменте юстиции Мангистауской области обеспечить опубликование настоящего решения в информационно-правовой системе "Әділет" и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решения возложить на постоянную комиссию городского маслихата по социальным вопросам (С.Шудабаева).</w:t>
      </w:r>
      <w:r>
        <w:br/>
      </w:r>
      <w:r>
        <w:rPr>
          <w:rFonts w:ascii="Times New Roman"/>
          <w:b w:val="false"/>
          <w:i w:val="false"/>
          <w:color w:val="000000"/>
          <w:sz w:val="28"/>
        </w:rPr>
        <w:t>
      </w:t>
      </w:r>
      <w:r>
        <w:rPr>
          <w:rFonts w:ascii="Times New Roman"/>
          <w:b w:val="false"/>
          <w:i w:val="false"/>
          <w:color w:val="000000"/>
          <w:sz w:val="28"/>
        </w:rPr>
        <w:t xml:space="preserve">5. Настоящее решение вступает в силу со дня государственной регистрации в департаменте юстиции Мангистауской области,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10</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настоящего решения, которые действуют до 01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"Актауский городской</w:t>
      </w:r>
      <w:r>
        <w:br/>
      </w:r>
      <w:r>
        <w:rPr>
          <w:rFonts w:ascii="Times New Roman"/>
          <w:b w:val="false"/>
          <w:i w:val="false"/>
          <w:color w:val="000000"/>
          <w:sz w:val="28"/>
        </w:rPr>
        <w:t>
      отдел занятости и социальных</w:t>
      </w:r>
      <w:r>
        <w:br/>
      </w:r>
      <w:r>
        <w:rPr>
          <w:rFonts w:ascii="Times New Roman"/>
          <w:b w:val="false"/>
          <w:i w:val="false"/>
          <w:color w:val="000000"/>
          <w:sz w:val="28"/>
        </w:rPr>
        <w:t>
      программ"</w:t>
      </w:r>
      <w:r>
        <w:br/>
      </w:r>
      <w:r>
        <w:rPr>
          <w:rFonts w:ascii="Times New Roman"/>
          <w:b w:val="false"/>
          <w:i w:val="false"/>
          <w:color w:val="000000"/>
          <w:sz w:val="28"/>
        </w:rPr>
        <w:t>
      Хайрлиева Г.Н.</w:t>
      </w:r>
      <w:r>
        <w:br/>
      </w:r>
      <w:r>
        <w:rPr>
          <w:rFonts w:ascii="Times New Roman"/>
          <w:b w:val="false"/>
          <w:i w:val="false"/>
          <w:color w:val="000000"/>
          <w:sz w:val="28"/>
        </w:rPr>
        <w:t>
      03 июля 2015 года</w:t>
      </w: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"Актауский городской</w:t>
      </w:r>
      <w:r>
        <w:br/>
      </w:r>
      <w:r>
        <w:rPr>
          <w:rFonts w:ascii="Times New Roman"/>
          <w:b w:val="false"/>
          <w:i w:val="false"/>
          <w:color w:val="000000"/>
          <w:sz w:val="28"/>
        </w:rPr>
        <w:t>
      отдел экономики и бюджетного</w:t>
      </w:r>
      <w:r>
        <w:br/>
      </w:r>
      <w:r>
        <w:rPr>
          <w:rFonts w:ascii="Times New Roman"/>
          <w:b w:val="false"/>
          <w:i w:val="false"/>
          <w:color w:val="000000"/>
          <w:sz w:val="28"/>
        </w:rPr>
        <w:t>
      планирования"</w:t>
      </w:r>
      <w:r>
        <w:br/>
      </w:r>
      <w:r>
        <w:rPr>
          <w:rFonts w:ascii="Times New Roman"/>
          <w:b w:val="false"/>
          <w:i w:val="false"/>
          <w:color w:val="000000"/>
          <w:sz w:val="28"/>
        </w:rPr>
        <w:t>
      Ким А.Н.</w:t>
      </w:r>
      <w:r>
        <w:br/>
      </w:r>
      <w:r>
        <w:rPr>
          <w:rFonts w:ascii="Times New Roman"/>
          <w:b w:val="false"/>
          <w:i w:val="false"/>
          <w:color w:val="000000"/>
          <w:sz w:val="28"/>
        </w:rPr>
        <w:t>
      03 июля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городского маслихата</w:t>
            </w:r>
            <w:r>
              <w:br/>
            </w:r>
            <w:r>
              <w:rPr>
                <w:rFonts w:ascii="Times New Roman"/>
                <w:b w:val="false"/>
                <w:i w:val="false"/>
                <w:color w:val="000000"/>
                <w:sz w:val="20"/>
              </w:rPr>
              <w:t>от 03 июля 2015 года № 30/283</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по городу Актау</w:t>
      </w:r>
    </w:p>
    <w:p>
      <w:pPr>
        <w:spacing w:after="0"/>
        <w:ind w:left="0"/>
        <w:jc w:val="left"/>
      </w:pPr>
      <w:r>
        <w:rPr>
          <w:rFonts w:ascii="Times New Roman"/>
          <w:b w:val="false"/>
          <w:i w:val="false"/>
          <w:color w:val="000000"/>
          <w:sz w:val="28"/>
        </w:rPr>
        <w:t xml:space="preserve">      1. Настоящие Типовые правила оказания социальной помощи, установления размеров и определения перечня отдельных категорий нуждающихся граждан по городу Актау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Настоящие </w:t>
      </w:r>
      <w:r>
        <w:rPr>
          <w:rFonts w:ascii="Times New Roman"/>
          <w:b w:val="false"/>
          <w:i w:val="false"/>
          <w:color w:val="000000"/>
          <w:sz w:val="28"/>
        </w:rPr>
        <w:t>Правила</w:t>
      </w:r>
      <w:r>
        <w:rPr>
          <w:rFonts w:ascii="Times New Roman"/>
          <w:b w:val="false"/>
          <w:i w:val="false"/>
          <w:color w:val="000000"/>
          <w:sz w:val="28"/>
        </w:rPr>
        <w:t xml:space="preserve">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3.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статистики по Мангистауской области за квартал, предшествующий обращению заявителя;</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осуществляющий назначение и выплату социальной помощи – государственное учреждение "Актауский городской отдел занятости и социальных программ" (далее – уполномоченный орган);</w:t>
      </w:r>
      <w:r>
        <w:br/>
      </w:r>
      <w:r>
        <w:rPr>
          <w:rFonts w:ascii="Times New Roman"/>
          <w:b w:val="false"/>
          <w:i w:val="false"/>
          <w:color w:val="000000"/>
          <w:sz w:val="28"/>
        </w:rPr>
        <w:t>
      8) уполномоченная организация – Мангистауский областной филиал Республиканского государственного казенного предприятия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9) уполномоченная организация по выдаче социальной помощи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12) социальный контракт активизации семьи – соглашение между трудоспособным физическим лицом, выступающим от имени семьи для назначения социальной помощи на основе социального контракта, и уполномоченным органом, определяющее права и обязанности сторон;</w:t>
      </w:r>
      <w:r>
        <w:br/>
      </w:r>
      <w:r>
        <w:rPr>
          <w:rFonts w:ascii="Times New Roman"/>
          <w:b w:val="false"/>
          <w:i w:val="false"/>
          <w:color w:val="000000"/>
          <w:sz w:val="28"/>
        </w:rPr>
        <w:t>
      13) индивидуальный план помощи семье (далее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предусмотренным действующим законодательством;</w:t>
      </w:r>
      <w:r>
        <w:br/>
      </w:r>
      <w:r>
        <w:rPr>
          <w:rFonts w:ascii="Times New Roman"/>
          <w:b w:val="false"/>
          <w:i w:val="false"/>
          <w:color w:val="000000"/>
          <w:sz w:val="28"/>
        </w:rPr>
        <w:t>
      Иные понятия, используемые в настоящих Правилах, применяются в значениях, определенных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4.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отдельных категорий нуждающихся граждан, постоянно проживающих в административно-территориальной единице, принадлежащей к городу Актау.</w:t>
      </w:r>
      <w:r>
        <w:br/>
      </w:r>
      <w:r>
        <w:rPr>
          <w:rFonts w:ascii="Times New Roman"/>
          <w:b w:val="false"/>
          <w:i w:val="false"/>
          <w:color w:val="000000"/>
          <w:sz w:val="28"/>
        </w:rPr>
        <w:t>
      </w:t>
      </w:r>
      <w:r>
        <w:rPr>
          <w:rFonts w:ascii="Times New Roman"/>
          <w:b w:val="false"/>
          <w:i w:val="false"/>
          <w:color w:val="000000"/>
          <w:sz w:val="28"/>
        </w:rPr>
        <w:t>5. Под социальной помощью понимается помощь, предоставляемая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6.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 xml:space="preserve">статье 16 </w:t>
      </w:r>
      <w:r>
        <w:rPr>
          <w:rFonts w:ascii="Times New Roman"/>
          <w:b w:val="false"/>
          <w:i w:val="false"/>
          <w:color w:val="000000"/>
          <w:sz w:val="28"/>
        </w:rPr>
        <w:t xml:space="preserve">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Социальная помощь предоставляется единовременно и (или) периодически (ежемесячно, ежеквартально, 1 раз в год).</w:t>
      </w:r>
      <w:r>
        <w:br/>
      </w:r>
      <w:r>
        <w:rPr>
          <w:rFonts w:ascii="Times New Roman"/>
          <w:b w:val="false"/>
          <w:i w:val="false"/>
          <w:color w:val="000000"/>
          <w:sz w:val="28"/>
        </w:rPr>
        <w:t>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Мангистауской области.</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9.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(далее – МИО) и утверждаются решениями местного представительного органа.</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имуществу вследствие стихийного бедствия или пожара либо социально-значимого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r>
        <w:br/>
      </w:r>
      <w:r>
        <w:rPr>
          <w:rFonts w:ascii="Times New Roman"/>
          <w:b w:val="false"/>
          <w:i w:val="false"/>
          <w:color w:val="000000"/>
          <w:sz w:val="28"/>
        </w:rPr>
        <w:t>
      4)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r>
        <w:br/>
      </w:r>
      <w:r>
        <w:rPr>
          <w:rFonts w:ascii="Times New Roman"/>
          <w:b w:val="false"/>
          <w:i w:val="false"/>
          <w:color w:val="000000"/>
          <w:sz w:val="28"/>
        </w:rPr>
        <w:t>
      Размер социальной помощи на основе социального контракта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При обращении за назначением социальной помощи на основе социального контракта государственная адресная социальная помощь приостанавливается.</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11. Социальная помощь к памятным датам и праздничным дням выплачивается только по одному основанию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12. Для получения социальной помощи при наступлении трудной жизненной ситуации заявитель от себя или от имени семьи в уполномоченный орган или акиму села,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(далее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документы, подтверждающие категорию получателя;</w:t>
      </w:r>
      <w:r>
        <w:br/>
      </w:r>
      <w:r>
        <w:rPr>
          <w:rFonts w:ascii="Times New Roman"/>
          <w:b w:val="false"/>
          <w:i w:val="false"/>
          <w:color w:val="000000"/>
          <w:sz w:val="28"/>
        </w:rPr>
        <w:t>
      6) акт и/или документ, подтверждающий наступление трудной жизненной ситуации;</w:t>
      </w:r>
      <w:r>
        <w:br/>
      </w:r>
      <w:r>
        <w:rPr>
          <w:rFonts w:ascii="Times New Roman"/>
          <w:b w:val="false"/>
          <w:i w:val="false"/>
          <w:color w:val="000000"/>
          <w:sz w:val="28"/>
        </w:rPr>
        <w:t>
      7) документ, подтверждающий сведения о номере банковского счета в уполномоченной организации по выдаче социальной помощи;</w:t>
      </w:r>
      <w:r>
        <w:br/>
      </w:r>
      <w:r>
        <w:rPr>
          <w:rFonts w:ascii="Times New Roman"/>
          <w:b w:val="false"/>
          <w:i w:val="false"/>
          <w:color w:val="000000"/>
          <w:sz w:val="28"/>
        </w:rPr>
        <w:t>
      8) свидетельство о рождении (для студентов высших учебных заведений);</w:t>
      </w:r>
      <w:r>
        <w:br/>
      </w:r>
      <w:r>
        <w:rPr>
          <w:rFonts w:ascii="Times New Roman"/>
          <w:b w:val="false"/>
          <w:i w:val="false"/>
          <w:color w:val="000000"/>
          <w:sz w:val="28"/>
        </w:rPr>
        <w:t>
      9) договор на оказание образовательных услуг (для студентов высших учебных заведений).</w:t>
      </w:r>
      <w:r>
        <w:br/>
      </w:r>
      <w:r>
        <w:rPr>
          <w:rFonts w:ascii="Times New Roman"/>
          <w:b w:val="false"/>
          <w:i w:val="false"/>
          <w:color w:val="000000"/>
          <w:sz w:val="28"/>
        </w:rPr>
        <w:t>
      10) документы подтверждающие родственные отношения членов семей фронтовиков, для участника посещения мест боев и захоронений погибших фронтовиков;</w:t>
      </w:r>
      <w:r>
        <w:br/>
      </w:r>
      <w:r>
        <w:rPr>
          <w:rFonts w:ascii="Times New Roman"/>
          <w:b w:val="false"/>
          <w:i w:val="false"/>
          <w:color w:val="000000"/>
          <w:sz w:val="28"/>
        </w:rPr>
        <w:t>
      11) документ подтверждающий место захоронения ветерана, архивные справки, письма-вызовы приглашающей стороны о посещении установленных мест захоронения для участника посещения мест боев и захоронений погибших фронтовиков;</w:t>
      </w:r>
      <w:r>
        <w:br/>
      </w:r>
      <w:r>
        <w:rPr>
          <w:rFonts w:ascii="Times New Roman"/>
          <w:b w:val="false"/>
          <w:i w:val="false"/>
          <w:color w:val="000000"/>
          <w:sz w:val="28"/>
        </w:rPr>
        <w:t>
      12) документ, удостоверяющий личность участника посещения мест боев и захоронений погибших фронтовиков;</w:t>
      </w:r>
      <w:r>
        <w:br/>
      </w:r>
      <w:r>
        <w:rPr>
          <w:rFonts w:ascii="Times New Roman"/>
          <w:b w:val="false"/>
          <w:i w:val="false"/>
          <w:color w:val="000000"/>
          <w:sz w:val="28"/>
        </w:rPr>
        <w:t>
      13) документ, подтверждающий регистрацию по постоянному месту жительства участника посещения мест боев и захоронений погибших фронтовиков;</w:t>
      </w:r>
      <w:r>
        <w:br/>
      </w:r>
      <w:r>
        <w:rPr>
          <w:rFonts w:ascii="Times New Roman"/>
          <w:b w:val="false"/>
          <w:i w:val="false"/>
          <w:color w:val="000000"/>
          <w:sz w:val="28"/>
        </w:rPr>
        <w:t>
      14) документ, подтверждающий сведения о номере банковского счета в уполномоченной организации по выдаче социальной помощи участника посещения мест боев и захоронений погибших фронтовиков;</w:t>
      </w:r>
      <w:r>
        <w:br/>
      </w:r>
      <w:r>
        <w:rPr>
          <w:rFonts w:ascii="Times New Roman"/>
          <w:b w:val="false"/>
          <w:i w:val="false"/>
          <w:color w:val="000000"/>
          <w:sz w:val="28"/>
        </w:rPr>
        <w:t>
      15) проездные билеты и посадочные талоны на полный маршрут следования (от пункта отправления до пункта назначения и обратно) на железнодорожном транспорте в купированных или плацкартных вагонах всех категорий поездов и (или) на воздушном транспорте класса "Экономический" для участника посещения мест боев и захоронений погибших фронтовиков.</w:t>
      </w:r>
      <w:r>
        <w:br/>
      </w:r>
      <w:r>
        <w:rPr>
          <w:rFonts w:ascii="Times New Roman"/>
          <w:b w:val="false"/>
          <w:i w:val="false"/>
          <w:color w:val="000000"/>
          <w:sz w:val="28"/>
        </w:rPr>
        <w:t>
      В случае отсутствия прямого железнодорожного (авиа) сообщения до места назначения, проездные билеты предоставляются до ближайшего к месту назначения населенного пункта. Маршрут следования может состоять из нескольких пунктов прибытия и убытия;</w:t>
      </w:r>
      <w:r>
        <w:br/>
      </w:r>
      <w:r>
        <w:rPr>
          <w:rFonts w:ascii="Times New Roman"/>
          <w:b w:val="false"/>
          <w:i w:val="false"/>
          <w:color w:val="000000"/>
          <w:sz w:val="28"/>
        </w:rPr>
        <w:t>
      16) документы подтверждающие расходы на проживание в гостинице или в другом месте для участника посещения мест боев и захоронений погибших фронтовиков".</w:t>
      </w:r>
      <w:r>
        <w:br/>
      </w:r>
      <w:r>
        <w:rPr>
          <w:rFonts w:ascii="Times New Roman"/>
          <w:b w:val="false"/>
          <w:i w:val="false"/>
          <w:color w:val="000000"/>
          <w:sz w:val="28"/>
        </w:rPr>
        <w:t>
      </w:t>
      </w:r>
      <w:r>
        <w:rPr>
          <w:rFonts w:ascii="Times New Roman"/>
          <w:b w:val="false"/>
          <w:i w:val="false"/>
          <w:color w:val="000000"/>
          <w:sz w:val="28"/>
        </w:rPr>
        <w:t>13.В интересах лица (семьи), находящегося в трудной жизненной ситуации, с заявлением об оказании социальной помощи с указанием причины, по которой лицо (семья) не обращается самостоятельно, может обратиться:</w:t>
      </w:r>
      <w:r>
        <w:br/>
      </w:r>
      <w:r>
        <w:rPr>
          <w:rFonts w:ascii="Times New Roman"/>
          <w:b w:val="false"/>
          <w:i w:val="false"/>
          <w:color w:val="000000"/>
          <w:sz w:val="28"/>
        </w:rPr>
        <w:t>
      1) один из взрослых членов семьи;</w:t>
      </w:r>
      <w:r>
        <w:br/>
      </w:r>
      <w:r>
        <w:rPr>
          <w:rFonts w:ascii="Times New Roman"/>
          <w:b w:val="false"/>
          <w:i w:val="false"/>
          <w:color w:val="000000"/>
          <w:sz w:val="28"/>
        </w:rPr>
        <w:t>
      2) опекун (попечитель);</w:t>
      </w:r>
      <w:r>
        <w:br/>
      </w:r>
      <w:r>
        <w:rPr>
          <w:rFonts w:ascii="Times New Roman"/>
          <w:b w:val="false"/>
          <w:i w:val="false"/>
          <w:color w:val="000000"/>
          <w:sz w:val="28"/>
        </w:rPr>
        <w:t>
      3) лицо по доверенности в соответствии с гражданским законодательством Республики Казахстан.</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14. При обращении семьи (лица) за социальной помощью на основе социального контракта уполномоченный орган, аким сельского округа либо консультант или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социальной помощи на основе социального контракта;</w:t>
      </w:r>
      <w:r>
        <w:br/>
      </w:r>
      <w:r>
        <w:rPr>
          <w:rFonts w:ascii="Times New Roman"/>
          <w:b w:val="false"/>
          <w:i w:val="false"/>
          <w:color w:val="000000"/>
          <w:sz w:val="28"/>
        </w:rPr>
        <w:t>
      2) виды предоставляемых мер по социальной адаптации;</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По результатам собеседования оформляется лист собеседования и заполняется анкета о семейном и материальном положении заявителя согласно приложению 2 и 3 к указанному решению".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4, 5 к Типовым правилам и направляет их в уполномоченный орган или акиму села.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22. Среднедушевой доход семьи (лица), претендующего на социальную помощь на основе социального контракта исчисляется путем деления совокупного дохода, полученного за квартал, предшествующих кварталу обращения за назначением социальной помощи на основе социального контракта, на число членов семьи и на три месяца и не пересматривается в течении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23. Уполномоченный орган письменно уведомляет заявителя о принятом решении, либо мотивированный ответ об отказе, в течении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24.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25.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w:t>
      </w:r>
      <w:r>
        <w:br/>
      </w:r>
      <w:r>
        <w:rPr>
          <w:rFonts w:ascii="Times New Roman"/>
          <w:b w:val="false"/>
          <w:i w:val="false"/>
          <w:color w:val="000000"/>
          <w:sz w:val="28"/>
        </w:rPr>
        <w:t>
      </w:t>
      </w:r>
      <w:r>
        <w:rPr>
          <w:rFonts w:ascii="Times New Roman"/>
          <w:b w:val="false"/>
          <w:i w:val="false"/>
          <w:color w:val="000000"/>
          <w:sz w:val="28"/>
        </w:rPr>
        <w:t>26. Совокупный доход семьи исчисляется в соответствии с приказом Министра труда и социальной зашиты населения Республики Казахстан от 28 июля 2009 года</w:t>
      </w:r>
      <w:r>
        <w:rPr>
          <w:rFonts w:ascii="Times New Roman"/>
          <w:b w:val="false"/>
          <w:i w:val="false"/>
          <w:color w:val="000000"/>
          <w:sz w:val="28"/>
        </w:rPr>
        <w:t xml:space="preserve"> № 237</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27.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28. Финансирование расходов на предоставление социальной помощи осуществляется в пределах средств, предусмотренных бюджетом города Актау на текущий финансовый год, по бюджетной программе 451.007.015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4.Заключение социального контракта активизации семьи</w:t>
      </w:r>
    </w:p>
    <w:bookmarkEnd w:id="3"/>
    <w:p>
      <w:pPr>
        <w:spacing w:after="0"/>
        <w:ind w:left="0"/>
        <w:jc w:val="left"/>
      </w:pPr>
      <w:r>
        <w:rPr>
          <w:rFonts w:ascii="Times New Roman"/>
          <w:b w:val="false"/>
          <w:i w:val="false"/>
          <w:color w:val="000000"/>
          <w:sz w:val="28"/>
        </w:rPr>
        <w:t>      29. После получения документов от акима села или участковой комиссии в течении одного рабочего формирует электронный макет дела заявителя, включающий электронные копии заявления, документов, представленных заявителем, определяет месячный размер социальной помощи на основе социального контракта на каждого члена семьи.</w:t>
      </w:r>
      <w:r>
        <w:br/>
      </w:r>
      <w:r>
        <w:rPr>
          <w:rFonts w:ascii="Times New Roman"/>
          <w:b w:val="false"/>
          <w:i w:val="false"/>
          <w:color w:val="000000"/>
          <w:sz w:val="28"/>
        </w:rPr>
        <w:t>
      </w:t>
      </w:r>
      <w:r>
        <w:rPr>
          <w:rFonts w:ascii="Times New Roman"/>
          <w:b w:val="false"/>
          <w:i w:val="false"/>
          <w:color w:val="000000"/>
          <w:sz w:val="28"/>
        </w:rPr>
        <w:t xml:space="preserve">30. После определения права на социальную помощь на основе социального контракта в течении одного дня уполномоченный орган направляет заявителя и (или) членов семьи, отнесенных к категории самозанятых, безработных, лиц трудоспособного возраста из числа малообеспеченных за исключением случаев,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активных мерах занятости в ГУ "Актауский городской центр занятости" (далее – Центр занятости) для заключения социального контракта либо предоставляет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социальный(ые) контракт(ы) и направляет копию социального(ых) контракта(ов)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31. Уполномоченный орган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согласно формам, утверждаемым приказом Министра здравоохранения и социального развития от 23 февраля 2015 года </w:t>
      </w:r>
      <w:r>
        <w:rPr>
          <w:rFonts w:ascii="Times New Roman"/>
          <w:b w:val="false"/>
          <w:i w:val="false"/>
          <w:color w:val="000000"/>
          <w:sz w:val="28"/>
        </w:rPr>
        <w:t>№ 88</w:t>
      </w:r>
      <w:r>
        <w:rPr>
          <w:rFonts w:ascii="Times New Roman"/>
          <w:b w:val="false"/>
          <w:i w:val="false"/>
          <w:color w:val="000000"/>
          <w:sz w:val="28"/>
        </w:rPr>
        <w:t xml:space="preserve"> "Об утверждении формы социального контракта активизации семьи и индивидуального плана помощи семье". Индивидуальный план является неотъемлемой частью социального контракта активизации семьи.</w:t>
      </w:r>
      <w:r>
        <w:br/>
      </w:r>
      <w:r>
        <w:rPr>
          <w:rFonts w:ascii="Times New Roman"/>
          <w:b w:val="false"/>
          <w:i w:val="false"/>
          <w:color w:val="000000"/>
          <w:sz w:val="28"/>
        </w:rPr>
        <w:t>
      В день заключения социального контракта активизации семьи принимает решение о назначении (отказе в назначении) социальной помощи на основе социального контракта.</w:t>
      </w:r>
      <w:r>
        <w:br/>
      </w:r>
      <w:r>
        <w:rPr>
          <w:rFonts w:ascii="Times New Roman"/>
          <w:b w:val="false"/>
          <w:i w:val="false"/>
          <w:color w:val="000000"/>
          <w:sz w:val="28"/>
        </w:rPr>
        <w:t>
      </w:t>
      </w:r>
      <w:r>
        <w:rPr>
          <w:rFonts w:ascii="Times New Roman"/>
          <w:b w:val="false"/>
          <w:i w:val="false"/>
          <w:color w:val="000000"/>
          <w:sz w:val="28"/>
        </w:rPr>
        <w:t>32.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Социальный контракт активизации семьи заключается в двух экземплярах, один из которых выдается заявителю под роспись в журнале регистрации.</w:t>
      </w:r>
      <w:r>
        <w:br/>
      </w:r>
      <w:r>
        <w:rPr>
          <w:rFonts w:ascii="Times New Roman"/>
          <w:b w:val="false"/>
          <w:i w:val="false"/>
          <w:color w:val="000000"/>
          <w:sz w:val="28"/>
        </w:rPr>
        <w:t>
      </w:t>
      </w:r>
      <w:r>
        <w:rPr>
          <w:rFonts w:ascii="Times New Roman"/>
          <w:b w:val="false"/>
          <w:i w:val="false"/>
          <w:color w:val="000000"/>
          <w:sz w:val="28"/>
        </w:rPr>
        <w:t>33.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5. Основания для прекращения</w:t>
      </w:r>
      <w:r>
        <w:br/>
      </w:r>
      <w:r>
        <w:rPr>
          <w:rFonts w:ascii="Times New Roman"/>
          <w:b/>
          <w:i w:val="false"/>
          <w:color w:val="000000"/>
        </w:rPr>
        <w:t>и возврата предоставляемой социальной помощи</w:t>
      </w:r>
    </w:p>
    <w:bookmarkEnd w:id="4"/>
    <w:p>
      <w:pPr>
        <w:spacing w:after="0"/>
        <w:ind w:left="0"/>
        <w:jc w:val="left"/>
      </w:pPr>
      <w:r>
        <w:rPr>
          <w:rFonts w:ascii="Times New Roman"/>
          <w:b w:val="false"/>
          <w:i w:val="false"/>
          <w:color w:val="000000"/>
          <w:sz w:val="28"/>
        </w:rPr>
        <w:t>      34.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выявление недостоверных сведений, предоставленных заявителем;</w:t>
      </w:r>
      <w:r>
        <w:br/>
      </w:r>
      <w:r>
        <w:rPr>
          <w:rFonts w:ascii="Times New Roman"/>
          <w:b w:val="false"/>
          <w:i w:val="false"/>
          <w:color w:val="000000"/>
          <w:sz w:val="28"/>
        </w:rPr>
        <w:t>
      5) расторжение и (или) невыполнение обязательств по социальному контракту активизации семьи и социальному контракту.</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6. Заключительное положение</w:t>
      </w:r>
    </w:p>
    <w:bookmarkEnd w:id="5"/>
    <w:p>
      <w:pPr>
        <w:spacing w:after="0"/>
        <w:ind w:left="0"/>
        <w:jc w:val="left"/>
      </w:pPr>
      <w:r>
        <w:rPr>
          <w:rFonts w:ascii="Times New Roman"/>
          <w:b w:val="false"/>
          <w:i w:val="false"/>
          <w:color w:val="000000"/>
          <w:sz w:val="28"/>
        </w:rPr>
        <w:t>      36.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