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ff61" w14:textId="a50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29 июля 2014 года № 31/4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19 февраля 2015 года № 39/4. Зарегистрировано Департаментом юстиции Кызылординской области 10 марта 2015 года № 4907. Утратило силу решением Кызылординского городского маслихата от 23 июня 2015 года № 43/6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Кызылординского городского маслихата от 23.06.2015 </w:t>
      </w:r>
      <w:r>
        <w:rPr>
          <w:rFonts w:ascii="Times New Roman"/>
          <w:b w:val="false"/>
          <w:i w:val="false"/>
          <w:color w:val="ff0000"/>
          <w:sz w:val="28"/>
        </w:rPr>
        <w:t>№ 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Кызылординского городского маслихата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31/4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4744, опубликовано от 20 августа 2014 года за № 55-56 (1078-1079) в газете "Ақмешіт ақшамы", от 20 августа 2014 года за №34 (350) в газете "Ел тілегі")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––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– единовременная помощь – 150 000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Детям, состоящим на диспансерном учете с гематологическими заболеваниями, включая гемобластозы и апластическую анемию предоставляется ежемесячная социальная помощь на получение лекарства, в размере – предельного размера не превышающего 7,6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Ж.Жылкышиева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февраля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