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ff61" w14:textId="a50f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29 июля 2014 года № 31/4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февраля 2015 года № 39/4. Зарегистрировано Департаментом юстиции Кызылординской области 10 марта 2015 года № 4907. Утратило силу решением Кызылординского городского маслихата от 23 июня 2015 года № 43/6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Кызылординского городского маслихата от 23.06.2015 </w:t>
      </w:r>
      <w:r>
        <w:rPr>
          <w:rFonts w:ascii="Times New Roman"/>
          <w:b w:val="false"/>
          <w:i w:val="false"/>
          <w:color w:val="ff0000"/>
          <w:sz w:val="28"/>
        </w:rPr>
        <w:t>№ 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Кызылординского городского маслихата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31/4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4744, опубликовано от 20 августа 2014 года за № 55-56 (1078-1079) в газете "Ақмешіт ақшамы", от 20 августа 2014 года за №34 (350) в газете "Ел тілегі")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––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 – единовременная помощь – 150 000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"12-1. Детям, состоящим на диспансерном учете с гематологическими заболеваниями, включая гемобластозы и апластическую анемию предоставляется ежемесячная социальная помощь на получение лекарства, в размере – предельного размера не превышающего 7,6 месячного расчетного показателя".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ХХХІХ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Ж.Жылкышиева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"25" февраля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