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fc1f" w14:textId="d97f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Сарыозек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9 июня 2015 года № 32/01. Зарегистрировано Департаментом юстиции Карагандинской области 29 июня 2015 года № 3306.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Сарыозек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15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июня 2015 года № 32/01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сельского округа Сарыозек 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сельского округа Сарыозек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101020, Карагандинская область, Осакаровский район, село Сарыозек, улица Центральная, дом 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сельского округа Сарыозек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