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1a21" w14:textId="f0f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января 2015 года № 03/02. Зарегистрировано Департаментом юстиции Карагандинской области 2 февраля 2015 года № 2954. Утратило силу постановлением акимата Карагандинской области от 26 января 2016 года № 05/01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26.01.2016 № 05/01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хозяйства, согласованного министерствами финансов и национальной экономики Республики Казахстан от 19 ноября 2014 года № 3-1/600 «Об утверждении Правил субсидирования развития племенного животноводства, повышение продуктивности и качества продукции животноводства» (зарегистрирован в реестре государственной регистрации нормативных правовых актов за № 9987)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 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возмещение до 100% затрат по искусственному осеменению маточного поголовья крупного рогатого скота в личных подсобных хозяйствах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критерии и требования к поставщикам услуг по искусственному осеменению маточного поголовья крупного рогатого скота в личных подсобных хозяйствах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сельского хозяйства Карагандинской области»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Карагандинской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_______________А. Мамытбеков</w:t>
            </w:r>
          </w:p>
          <w:bookmarkEnd w:id="3"/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2015 года № 03/02</w:t>
            </w:r>
          </w:p>
          <w:bookmarkEnd w:id="5"/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 субсидий на возмещение до 100% затрат по искусственному осеменению маточного поголовья крупного 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1"/>
        <w:gridCol w:w="817"/>
        <w:gridCol w:w="3332"/>
      </w:tblGrid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100% затрат по искусственному осеменению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2015 года № 03/02</w:t>
            </w:r>
          </w:p>
          <w:bookmarkEnd w:id="9"/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
к поставщикам услуг по искусственному осеменению</w:t>
      </w:r>
      <w:r>
        <w:br/>
      </w:r>
      <w:r>
        <w:rPr>
          <w:rFonts w:ascii="Times New Roman"/>
          <w:b/>
          <w:i w:val="false"/>
          <w:color w:val="000000"/>
        </w:rPr>
        <w:t>
маточного поголовья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
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10056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опыта работы по искусственному осеменению КРС с подтверждением срока работы по реестру от уполномоченного органа в области племенной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или долгосрочной аренды специального автотранспорта для перевозки жидкого азота, оборудованной специальной емкостью типа ЦТК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праве собственности специальной емкости для хранения семени быков-производителей типа СДС-35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работников по соответствующим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2015 года № 03/02</w:t>
            </w:r>
          </w:p>
          <w:bookmarkEnd w:id="16"/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постановления акимата Карагандинской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73/01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5337"/>
        <w:gridCol w:w="1339"/>
        <w:gridCol w:w="1519"/>
        <w:gridCol w:w="1861"/>
        <w:gridCol w:w="2345"/>
      </w:tblGrid>
      <w:tr>
        <w:trPr>
          <w:trHeight w:val="1005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75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135 520,0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из Национального фонда Республики Казахстан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63 832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 из Национального фонда Республики Казахстан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415 061,0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617 772,2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племенного и селекционного крупного рогатого скота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3 уровень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21 096,0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2 479 861,2</w:t>
            </w:r>
          </w:p>
        </w:tc>
      </w:tr>
      <w:tr>
        <w:trPr>
          <w:trHeight w:val="75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7 191,9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75 358,4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6 504,2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65 042,4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24 237,0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12 707,8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50 882,2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154 477,6</w:t>
            </w:r>
          </w:p>
        </w:tc>
      </w:tr>
      <w:tr>
        <w:trPr>
          <w:trHeight w:val="75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6 848,5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452 000,0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 из Национального фонда Республики Казахстан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 прародительской формы у отечественных и зарубежных племенных репродукторов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49 957,5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523 797,5</w:t>
            </w:r>
          </w:p>
        </w:tc>
      </w:tr>
      <w:tr>
        <w:trPr>
          <w:trHeight w:val="75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502 788,0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1 508 364,0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210 072,3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630 217,0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из Национального фонда Республики Казахстан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292 715,7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878 147,0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родительской/ прародительской формы у отечественных и зарубежных племенных репродукторов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179 829,5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1 695 669,5</w:t>
            </w:r>
          </w:p>
        </w:tc>
      </w:tr>
      <w:tr>
        <w:trPr>
          <w:trHeight w:val="75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143 909,0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215 863,5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44 431,2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189 772,4 </w:t>
            </w:r>
          </w:p>
        </w:tc>
      </w:tr>
      <w:tr>
        <w:trPr>
          <w:trHeight w:val="75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154 268,6</w:t>
            </w:r>
          </w:p>
        </w:tc>
      </w:tr>
      <w:tr>
        <w:trPr>
          <w:trHeight w:val="75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35 503,8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450 067,1</w:t>
            </w:r>
          </w:p>
        </w:tc>
      </w:tr>
      <w:tr>
        <w:trPr>
          <w:trHeight w:val="75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157 504,2</w:t>
            </w:r>
          </w:p>
        </w:tc>
      </w:tr>
      <w:tr>
        <w:trPr>
          <w:trHeight w:val="225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14 855,9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195 160,1</w:t>
            </w:r>
          </w:p>
        </w:tc>
      </w:tr>
      <w:tr>
        <w:trPr>
          <w:trHeight w:val="75" w:hRule="atLeast"/>
        </w:trPr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5 797,9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568 198,0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617 443,0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6 116 476,0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