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efc3" w14:textId="2e6e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мая 2015 года № 88. Зарегистрировано Департаментом юстиции Жамбылской области 15 июня 2015 года № 2671. Утратило силу постановлением акимата Жамбылской области от 27 января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27.01.2016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Отделу управления персоналом аппарата акима области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Жамбылской области от 30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ежегодной оценки деятельности административных государственных служащих корпуса "Б" аппарата акима области и руководителей областных исполнительных органов, финансируемых из местного бюджета" (зарегистрировано в Реестре государственной регистрации нормативных правовых актов № 2397, опубликованный 11 декабря 2014 года в газетах "Ақ жол" № 169 (18026) и "Знамя труда" № 137 (18010).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руководителя аппарата акима области Р. Рахманбердиева.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2015 года № 88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rPr>
          <w:rFonts w:ascii="Times New Roman"/>
          <w:b/>
          <w:i w:val="false"/>
          <w:color w:val="000000"/>
        </w:rPr>
        <w:t xml:space="preserve"> ежегодной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</w:t>
      </w:r>
    </w:p>
    <w:bookmarkEnd w:id="0"/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аппарата акима области и областных исполнительных органов, финансируемых из местного бюджета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Ежегодная оценка деятельности служащих (далее –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областных исполнительных органов, финансируемых из местного бюджета, оценка проводится курирующим заместителем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Получение служащим двух оценок "неудовлетворительно"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руководителей областных исполнительных органов, финансируемых из местного бюджета и заместителей руководителя аппарата акима области является первый заместитель акима области, для сотрудников аппарата акима области руководитель аппарата акима области, а для сотрудников областных исполнительных органов, финансируемых из местного бюджета руководитель соответствующего областного исполнительного органа, финансируемого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управления персоналом аппарата акима области и сотрудник соответствующего областного исполнительного органа, финансируемого из местного бюджета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Служба управления персоналом формирует график проведения оценки по согласованию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a – итоговая оценка служащего,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аппарата акима области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1389"/>
        <w:gridCol w:w="1459"/>
        <w:gridCol w:w="4194"/>
        <w:gridCol w:w="2394"/>
        <w:gridCol w:w="8"/>
        <w:gridCol w:w="10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7"/>
        <w:gridCol w:w="4774"/>
        <w:gridCol w:w="2066"/>
        <w:gridCol w:w="1326"/>
        <w:gridCol w:w="1327"/>
      </w:tblGrid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Комиссии:_____________________________Дата: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Комиссии:__________________________________Дата: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</w:t>
      </w:r>
      <w:r>
        <w:rPr>
          <w:rFonts w:ascii="Times New Roman"/>
          <w:b w:val="false"/>
          <w:i/>
          <w:color w:val="000000"/>
          <w:sz w:val="28"/>
        </w:rPr>
        <w:t>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