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7100" w14:textId="7857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18 мая 2015 года № 46-315. Зарегистрировано Департаментом юстиции Алматинской области 09 июня 2015 года № 3206. Утратило силу решением Жамбылского районного маслихата Алматинской области от 21 июня 2018 года № 39-188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 39-188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"Жамбылский районный отдел занятости и социальных программ" (по согласованию Ж. С. Карымбаев)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"По развитию социальной инфраструктуры, социальной защите населения, языку, спорту, культуре, общественным объединениям и связи, правовой реформе и законности".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"Жамбылский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Карымбаев Жаксылык Султанович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бюджетного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Жамбылского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Солтанбаева Сандугаш Сериковна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мая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46-315 "Об определении размера и порядка оказания жилищной помощи малообеспеченным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семьям (гражданам)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</w:t>
      </w:r>
      <w:r>
        <w:rPr>
          <w:rFonts w:ascii="Times New Roman"/>
          <w:b/>
          <w:i w:val="false"/>
          <w:color w:val="000000"/>
        </w:rPr>
        <w:t xml:space="preserve">малообеспеченным семьям (гражданам) 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– стандарт),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  <w:r>
        <w:rPr>
          <w:rFonts w:ascii="Times New Roman"/>
          <w:b/>
          <w:i w:val="false"/>
          <w:color w:val="000000"/>
        </w:rPr>
        <w:t> 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</w:t>
      </w:r>
      <w:r>
        <w:rPr>
          <w:rFonts w:ascii="Times New Roman"/>
          <w:b w:val="false"/>
          <w:i w:val="false"/>
          <w:color w:val="000000"/>
          <w:sz w:val="28"/>
        </w:rPr>
        <w:t>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"Жамбылский районный отдел занятости и социальных программ" осуществляющее назначение жилищной помощи;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центр обслуживания населения –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 законодательством Республики Казахстан; 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- лица, которые в соответствии с жилищным законодательством Республики Казахстан имеют право на получение жилищной помощи.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Жамбылском районе на оплату: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 допустимого уровня расходов устанавливается к совокупному доходу семьи в размере десяти процентов. 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безработным, не 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безработным, без уважительных причин отказавшимся от предложенного уполномоченными органами трудоустройства, в том числе на </w:t>
      </w:r>
      <w:r>
        <w:rPr>
          <w:rFonts w:ascii="Times New Roman"/>
          <w:b w:val="false"/>
          <w:i w:val="false"/>
          <w:color w:val="000000"/>
          <w:sz w:val="28"/>
        </w:rPr>
        <w:t>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в центр обслуживания населения или веб-портал предоставляет следующие документы: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 обслуживания населения: 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представляется для идентификации личности услугополучателя);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семьи, указанные в пунктах 1, 5, 6, 7, подпункте 2) пункта 8 и пункте 10 приложения 2 к стандарту;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 о размерах ежемесячных взносов на содержание жилого дома (жилого здания);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на потребление коммунальных услуг;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квитанцию-счет за услуги телекоммуникаций или копия договора на оказание услуг связи;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веб-портал: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доходы семьи, указанные в пунктах 1, 5, 6, 7, подпункте 2) пункта 8 и пункте 10 приложения 2 к стандарту;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счета о размерах ежемесячных взносов на содержание жилого дома (жилого здания);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счета на потребление коммунальных услуг;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квитанции-счета за услуги телекоммуникаций или копия договора на оказание услуг связи; 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дней извещают уполномоченный орган об обстоятельствах, влияющих на право получения жилищной помощи или ее размер. 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потребление газа: семьям, проживающим в частном секторе, при использовании природного газа для приготовления пищи – 12,5 кубических метров в месяц на одну семью, проживающим в многоквартирных жилых домах при использовании природного газа для приготовления пищи – 22,5 кубических метров в месяц на одну семью, при наличии приборов учета по показаниям, но не выше действующих норм; семьям, проживающим в жилом доме с печным отоплением – 10килограмм (1 маленький баллон) в месяц на одну семью;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потребление электроэнергии на один месяц: на 1-го человека – 70 киловатт, на 2-х человек – 140 киловатт, на 3-х человек – 150 киловатт, на 4-х и более человек – 180 киловатт; 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содержание жилого дома (жилого здания) согласно счета о размере целевого взноса; 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 тонны угля на год.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расчете стоимости твердого топлива учитывается средняя цена сложившаяся за предыдущий квартал в регионе. </w:t>
      </w:r>
    </w:p>
    <w:bookmarkEnd w:id="62"/>
    <w:bookmarkStart w:name="z9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Финансирование выплат жилищной помощи осуществляется в пределах средств, предусмотренных бюджетом района на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финансовый год. 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Выплата жилищной помощи малообеспеченным семьям (гражданам) осуществляется уполномоченным органом через банки второго уровня. </w:t>
      </w:r>
    </w:p>
    <w:bookmarkEnd w:id="65"/>
    <w:bookmarkStart w:name="z10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