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73ac" w14:textId="2fc7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единых ставок фиксированного налога по городу Текели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Текелийского городского маслихата Алматинской области от 22 декабря 2015 года № 44-289. Зарегистрировано Департаментом юстиции Алматинской области 26 января 2016 года № 3683. Утратило силу решением Текелийского городского маслихата Алматинской области от 26 июня 2018 года № 26-167</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Текелийского городского маслихата Алматинской области от 26.06.2018 </w:t>
      </w:r>
      <w:r>
        <w:rPr>
          <w:rFonts w:ascii="Times New Roman"/>
          <w:b w:val="false"/>
          <w:i w:val="false"/>
          <w:color w:val="000000"/>
          <w:sz w:val="28"/>
        </w:rPr>
        <w:t>№ 26-167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422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Текелийский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Установить в пределах утвержденных базовых ставок единые ставки фиксированного налога для всех налогоплательщиков, осуществляющих деятельность на территории города Текели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республиканского государственного учреждения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 (по согласованию Нургалиев К. Д.)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городского маслихата "По вопросам бюджета и экономики".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Текелийского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Иманбердиева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Текелийского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Текелийского городского маслихата от 22 декабря 2015 года № 44-289 "Об установлении единых ставок фиксированного налога по городу Текели" </w:t>
            </w:r>
          </w:p>
        </w:tc>
      </w:tr>
    </w:tbl>
    <w:bookmarkStart w:name="z15" w:id="1"/>
    <w:p>
      <w:pPr>
        <w:spacing w:after="0"/>
        <w:ind w:left="0"/>
        <w:jc w:val="left"/>
      </w:pPr>
      <w:r>
        <w:rPr>
          <w:rFonts w:ascii="Times New Roman"/>
          <w:b/>
          <w:i w:val="false"/>
          <w:color w:val="000000"/>
        </w:rPr>
        <w:t xml:space="preserve"> Единые ставки фиксированного налога для всех налогоплательщиков, осуществляющих деятельность на территории города Текели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5896"/>
        <w:gridCol w:w="4951"/>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налогообложения</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единых ставок фиксированного налога (в месячных расчетных показателях)</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1</w:t>
            </w:r>
          </w:p>
          <w:bookmarkEnd w:id="3"/>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1</w:t>
            </w:r>
          </w:p>
          <w:bookmarkEnd w:id="4"/>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одним игроком</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2</w:t>
            </w:r>
          </w:p>
          <w:bookmarkEnd w:id="5"/>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участием более одного игрока</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3</w:t>
            </w:r>
          </w:p>
          <w:bookmarkEnd w:id="6"/>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используемый для проведения игры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4</w:t>
            </w:r>
          </w:p>
          <w:bookmarkEnd w:id="7"/>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Игровая дорожка</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5</w:t>
            </w:r>
          </w:p>
          <w:bookmarkEnd w:id="8"/>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6</w:t>
            </w:r>
          </w:p>
          <w:bookmarkEnd w:id="9"/>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стол</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