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28733" w14:textId="d1287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местных исполнительных органов Иргизского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Иргизского района Актюбинской области от 11 сентября 2015 года № 138. Зарегистрировано Департаментом юстиции Актюбинской области 09 октября 2015 года № 4536. Утратило силу постановлением акимата Иргизского района Актюбинской области от 13 января 2016 года № 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Иргизского района Актюбинской области от 13.01.2016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№ 86 "Об утверждении Типовой методики ежегодной оценки деятельности административных государственных служащих корпуса "Б",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8 мая 2015 года № 145 "Об утверждении методики ежегодной оценки деятельности административных государственных служащих корпуса "Б" местных исполнительных органов Актюбинской области" акимат Иргизского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 ежегодной оценки деятельности административных государственных служащих корпуса "Б" местных исполнительных органов Иргизского района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Иргизского района А. Туртаева.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ДУАНБЕКОВ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постановлением акимата Иргизского района от 11 сентября 2015 года № 138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 административных государственных служащих корпуса "Б" местных исполнительных органов Иргизского района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ежегодной оценки деятельности административных государственных служащих корпуса "Б" местных исполнительных органов Иргизского района разработана в реализацию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 и определяет методы ежегодной оценки деятельности административных государственных служащих корпуса "Б" (далее –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круговой оценки (оценки подчиненных или коллег служащего).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руководителей районных исполнительных органов, финансируемых из местного бюджета, оценка проводится акимом района либо по его уполномочию его заместителями по курируемым направлениям.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Итоговая оценка служащего утверждается постоянно действующей Комиссией по оценке (далее –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Председателем Комиссии является ответственный секретарь государственного органа, а в государственных органах, в которых не введена должность ответственного секретаря – руководитель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является сотрудник службы управления персоналом (кадровой службы) государственного органа (далее – служба управления персоналом).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случае, если в состав Комиссии входит непосредственный руководитель служащего, в отношении которого проводится оценка, а также служащие,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 Служба управления персоналом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Служба управления персоналом уведомляет служащего, подлежащего оценке, а также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и направляет им оценочные листы для заполнения не позднее одного месяца до ее проведения.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Непосредственный руководитель заполняет оценочный лист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службы управления персоналом, ознакамливает служащего с заполненным оценочным листом и направляет заполненный оценочный лист в службу управления персоналом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направления документов на заседание Комиссии. В этом случае работником службы управления персоналом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Перечень таких лиц (не более трех)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в службу управления персоналом в течение двух рабочих дней со дня их получения от службы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Служба управления персоналом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Оценка лицами,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на анонимной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Итоговая оценка служащего вычисляется службой управления персоналом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c –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21 балла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21 до 33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Служба управления персоналом обеспечивает проведение заседания Комиссии по рассмотрению результатов оценки в соответствии с графиком,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с указанием итоговой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службой управления персоналом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Служба управления персоналом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ежегодной оценки деятельности административных государственных служащих корпуса "Б" местных исполнительных органов Иргизского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Ф.И.О. оцениваемого служащего: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Ознакомлен(а):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(Ф.И.О.) ___________             Непосредственный руководитель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дата ________________________             дата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подпись _____________________             подпись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ежегодной оценки деятельности административных государственных служащих корпуса "Б" местных исполнительных органов Иргизского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Ф.И.О. оцениваемого служащего:_________________________________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4"/>
        <w:gridCol w:w="3528"/>
        <w:gridCol w:w="4263"/>
        <w:gridCol w:w="2435"/>
      </w:tblGrid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ежегодной оценки деятельности административных государственных служащих корпуса "Б" местных исполнительных органов Иргизского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</w:t>
      </w:r>
      <w:r>
        <w:rPr>
          <w:rFonts w:ascii="Times New Roman"/>
          <w:b w:val="false"/>
          <w:i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5"/>
        <w:gridCol w:w="3697"/>
        <w:gridCol w:w="2153"/>
        <w:gridCol w:w="1382"/>
        <w:gridCol w:w="1383"/>
      </w:tblGrid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 Комиссии:________________________ Дата: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(Ф.И.О., подп</w:t>
      </w:r>
      <w:r>
        <w:rPr>
          <w:rFonts w:ascii="Times New Roman"/>
          <w:b w:val="false"/>
          <w:i/>
          <w:color w:val="000000"/>
          <w:sz w:val="28"/>
        </w:rPr>
        <w:t>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