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4b58" w14:textId="fed4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17 апреля 2013 года № 115 "Об охранных зонах, зонах регулирования застройки и зонах охраняемого природного ландшафта объектов историко-культурного наследия"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2015 года № 311. Зарегистрировано Департаментом юстиции Актюбинской области 26 июня 2015 года № 4397. Утратило силу решением маслихата Актюбинской области от 10 августа 2020 года № 556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10.08.2020 № 556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Земельного Кодекса Республики Казахстан от 20 июня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156, зарегистрированного в Реестре государственной регистрации нормативных правовых актов за № 10171,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апреля 2013 года № 115 "Об охранных зонах, зонах регулирования застройки и зонах охраняемого природного ландшафта объектов историко-культурного наследия" (зарегистрированное в Реестре государственной регистрации нормативных правовых актов за № 3575, опубликованное 16 мая 2013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3, 8 Правил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использования, утвержденных постановлением Правительства Республики Казахстан от 28 октября 2011 года № 1218" заменить словами "пунктами 3, 9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наследия, утвержденных приказом Министра культуры и спорта Республики Казахстан от 29 декабря 2014 года № 156, зарегистрированного в Реестре государственной регистрации нормативных правовых актов за № 10171".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