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51c7" w14:textId="455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Зерендинского района от 12 февраля 2015 года № 91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9 июня 2015 года № А-1/321. Зарегистрировано Департаментом юстиции Акмолинской области 10 июля 2015 года № 4864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12 февраля 2015 года № 91 (зарегистрировано в Реестре государственной регистрации нормативных правовых актов № 4689, опубликовано 20 марта 2015 года в газетах «Зерен» и «Зерделі Зеренді»),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Настоящее постановление вступает в силу со дня официального опубликования и распространяется на правоотношения, возникшие с 1 января 2015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воспитанников организаций дошкольного воспитания и обучения», в графе «частный» дополнить цифрой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подушевого финансирования в дошкольных организациях в месяц (тенге)», в графе «частный» дополнить цифрой «21476»;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расходов на одного воспитанника в месяц (тенге)», в графе «частный» дополнить цифрой «21476»;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«Максимальный размер родительской платы в дошкольных организациях в месяц (тенге)», в графе «частный» дополнить цифрой «15000».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