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93e3" w14:textId="0619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базовых ставок земельного налога на земельные участки села Жаксы, сельских населенных пунктов и земли сельскохозяйственного назначения представленные физическим лицам для ведения личного домашнего (подсобного) хозяйства, на земли промышленности расположенные вне населенных пунктов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19 февраля 2015 года № 5ВС-35-5. Зарегистрировано Департаментом юстиции Акмолинской области 26 марта 2015 года № 4710. Утратило силу решением Жаксынского районного маслихата Акмолинской области от 15 января 2016 года № 5ВС-46-5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Жаксынского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5ВС-46-5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(понизить) базовые ставки земельного налога, на земельные участки села Жаксы, сельских населенных пунктов и земли сельскохозяйственного назначения представленные физическим лицам для ведения личного домашнего (подсобного) хозяйства, на земли промышленности, расположенные вне населенных пунктов за исключением земель, выделенных (отведенных) под автостоянки (паркинги), автозаправочные станции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А.Жапаров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02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Жаксынскому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Т.Коваленко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02 2015 год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02 2015 год № 5BC-35-5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(понижении) базовых ставок земельного налога на земельные участки села Жаксы Жаксынского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8"/>
        <w:gridCol w:w="7092"/>
      </w:tblGrid>
      <w:tr>
        <w:trPr>
          <w:trHeight w:val="30" w:hRule="atLeast"/>
        </w:trPr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повышении (понижении) базовых ставок</w:t>
            </w:r>
          </w:p>
        </w:tc>
      </w:tr>
      <w:tr>
        <w:trPr>
          <w:trHeight w:val="30" w:hRule="atLeast"/>
        </w:trPr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600" w:hRule="atLeast"/>
        </w:trPr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02 2015 г. № 5BC-35-5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(понижении) базовых ставок земельного налога на земли населенных пунктов Жаксынского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6246"/>
        <w:gridCol w:w="6103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квартал, округ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01-278-007 село Белагаш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01-278-057 село Жана-Кийма (Жанакийминский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01-278-060 село Запорожье (Запорожский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01-278-024 село Новокиенка (Новокиенский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01-278-037 село Подгорное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01-278-035 село Беловодское (Беловодский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01-278-047 село Ишимское (Ишимский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01-278-027 село Чапаевское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01-278-019 село Киевское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01-278-016 село Моховое (Калининский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01-278-009 село Кайракты (Кайрактинский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01-278-021 село Тарасовка (Тарасовский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01-278-033 село Кировское (Кызылсайский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01-278-058 село Киима (Жанакийминский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01-278-039 село Лозовое (Запорожский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01-278-013 село Калининское (Калининский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01-278-011 село Перекатное (Беловодский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01-278-050 село Монастырка (Ишимский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01-278-064 село Терсакан (Терсаканский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01-278-022 село Казахское (Тарасовский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01-278-011 село Старое Перекатное (Кайрактинский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01-278-029 село Кызылсай (Кызылсайский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01-278-068 село Алгабас (Жанакийминский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01-278-031 село Баягиз (Кызылсайский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01-278-058 село Тайпак (Жанакийминский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01-278-042 село Трудовое (Жанакийминский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01-278-017 село Калмакколь (Калининский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01-278-025 село Парчевка (Новокиенский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01-278-049 село Казахстан (Ишимский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01-278-066 село Коксай (Терсаканский сельский округ)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02 2015 г. № 5BC-35-5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(понижении) базовых ставок земельного налога на земли промышленности, расположенные вне населенных пунктов Жаксынского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6948"/>
        <w:gridCol w:w="5648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квартал,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(понижении) базовой ставки земельного налога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01-278-008 село Белагаш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01-278-015 Калининский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01-278-018 Калининский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01-278-026 Новокиенский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01-278-030 Кызылсайский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01-278-038 Беловодский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01-278-063 Запарожский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01-278-036 село Подгорное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01-278-023 Тарасовский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01-278-012 Кайрактинский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+ 40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01-278-041 Запарожский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01-278-020 село Киевское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01-278-032 Кызылсайский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01-278-028 село Чапаевское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01-278-069 Жанакийминский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01-278-034 Кызылсайский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01-278-059 Жанакийминский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01-278-051 Ишимский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01-278-046 Жанакийминский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01-278-055 Жанакийминский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01-278-067 Терсаканский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01-278-073 Терсаканский сельский округ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02 2015 г. № 5BC-35-5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(понижении) базовых ставок земельного налога на земли сельскохозяйственного назначения, предоставленные физическим лицам для ведения личного домашнего (подсобного)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021"/>
        <w:gridCol w:w="5674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(понижении) базовых налоговых ставок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0,50 га включительно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0,50 га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