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923" w14:textId="1711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2015 года № А-10/468. Зарегистрировано Департаментом юстиции Акмолинской области 26 ноября 2015 года № 5083. Утратило силу постановлением акимата Акмолинской области от 20 марта 2020 года № А-4/152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А-8/348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(зарегистрирован в Реестре государственной регистрации нормативных правовых актов № 11765)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подготавливает результат оказания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– 15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документов, передает на рассмотрение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подготавливает результат оказания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– 15 минут.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А-10/468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А-8/348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области", местными исполнительными органами районов, городов Кокшетау и Степногорск (далее –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"Государственную корпорацию "Правительство для граждан" (далее – Государственная корпорация).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водного объекта в обособленное или совместное пользование между государственным учреждением "Управление природных ресурсов и регулирования природопользования Акмолинской области", местными исполнительными районов, городов Кокшетау и Степногорск и победителем конкурса в бумажном виде, на основании решения местных исполнительных органов области, районов, городов Кокшетау и Степногорск (далее - акимат)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(зарегистрирован в Реестре государственной регистрации нормативных правовых актов № 11765) (далее – Стандарт).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 осуществляет прием конкурсной заявки – 17 рабочих дней со дня размещения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вскрывает конверты с конкурсными заявками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рассматривает документы и подводит итоги конкурса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 подготавливает протокол об итогах конкурса и направляет в акимат проект постановления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ознакамливается с проектом и принимает постановление о представлении водного объекта в обособленное или совместное пользование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постановления акимата подготавливает проект договор о предоставлении водного объекта в обособленное или совместное пользование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договор о предоставлении водного объекта в обособленное или совместное пользование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выдает результат оказания государственной услуги – 15 минут.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конкурсных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протокола вскрытия конвертов;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протокола об итогах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постановления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постановления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 осуществляет прием конкурсной заявки – 17 рабочих дней со дня размещения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вскрывает конверты с конкурсными заявками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рассматривает документы и подводит итоги конкурса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 подготавливает протокол об итогах конкурса и направляет в акимат проект постановления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ознакамливается с проектом и принимает постановление о представлении водного объекта в обособленное или совместное пользование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постановления акимата подготавливает проект договор о предоставлении водного объекта в обособленное или совместное пользование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договор о предоставлении водного объекта в обособленное или совместное пользование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выдает результат оказания государственной услуги – 15 минут.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