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d6ed" w14:textId="570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августа 2015 года № 107-1461. Зарегистрировано Департаментом юстиции города Астаны 23 сентября 2015 года № 945. Утратило силу постановлением акимата города Астаны от 17 апреля 2018 года № 107-566.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17.04.2018 </w:t>
      </w:r>
      <w:r>
        <w:rPr>
          <w:rFonts w:ascii="Times New Roman"/>
          <w:b w:val="false"/>
          <w:i w:val="false"/>
          <w:color w:val="ff0000"/>
          <w:sz w:val="28"/>
        </w:rPr>
        <w:t>№ 107-566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2014 года № 107-890 "Об утверждении регламентов государственных услуг, оказываемых местными исполнительными органами в сфере семьи и детей" (зарегистрировано в Реестре государственной регистрации нормативных правовых актов 10 июля 2014 года № 820, опубликовано в газетах "Астана ақшамы" от 15 июля 2014 года № 77 (3134), "Вечерняя Астана" от 15 июля 2014 года № 76 (3152).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107-1461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и льготного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категориям обучающихся и воспитанников в общеобразовательных школах"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услугодатель). Регламент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(далее – Стандарт).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справка о предоставлении бесплатного питания в общеобразовательной школе,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 услугодателя, либо посредством веб-портала "электронного правительства" www.e.gov.kz (далее – портал).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поступивших документов в канцелярии услугодателя, направление на рассмотрение руководителю услугодателя – не более 20 (двадцати) минут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рассмотренных документов специалисту услугодателя на исполнение – в течение 20 (двадцати) минут в день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специалистом услугодателя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к выдаче справки о предоставлении государственной услуги и направление результата руководителю услугодателя на подпись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направление в канцелярию услугодателя – в течение 20 (двадцати) минут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услугополучателем – не позднее 5 (пяти)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раздела 2 Регламента, является передача документов руководителю отдела услугодателя. Переданный пакет документов руководителю отдела услугодателя является основанием для начала выполнения действия 2, указанного в пункте 5 раздела 2 Регламента.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раздела 2 Регламента, является рассмотрение документов руководителем отдела услугодателя и передача завизированных документов руководителем отдела услугодателя специалисту отдела услугодателя, которые являются основанием для выполнения действия 3, указанного в пункте 5 раздела 2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3, указанному в пункте 5 раздела 2 Регламента, является рассмотрение документов специалистом отдела услугодателя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справки, являются основанием для выполнения действия 4, указанного в пункте 5 раздела 2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4, указанному в пункте 5 раздела 2 Регламента, является подписание результата оказания государственной услуги руководителем отдела услугодателя, который является основанием для выполнения действия 5, указанного в пункте 5 раздела 2 Регламента. Результатом по действию 5, указанному в пункте 5 раздела 2 Регламента, является направление результата подписанного руководителем отдела услугодателя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указано прописаны в блок-схеме прохождения каждой процедуры (действия),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"электронного правительства" (далее – ПЭП)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пароля (процесс авторизации) на ПЭП для получения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электронной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автоматизированном рабочем месте (далее – АРМ) регионального шлюза "электронного правительства" (далее – РШЭП) для обработки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специалистом отдела услугодателя соответствия приложенных услугодателем документов, указанных в Стандарте, основаниям для оказания электронной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результата электронной государственной услуги (справки в форме электронного документа), сформированного услугодателем. Электронный документ формируется с использованием ЭЦП руководителя отдела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 Порядок обращения и последовательности процедур услугодателя и услугополучателя при оказании государственной услуги через электронный портал АРМ РШЭП указан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получения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при обращении к услугодателю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оказании "частично автоматизированной"</w:t>
      </w:r>
      <w:r>
        <w:br/>
      </w:r>
      <w:r>
        <w:rPr>
          <w:rFonts w:ascii="Times New Roman"/>
          <w:b/>
          <w:i w:val="false"/>
          <w:color w:val="000000"/>
        </w:rPr>
        <w:t>электронной государственной услуги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