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f282" w14:textId="8c0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декабря 2015 года № 705 и Министра культуры и спорта Республики Казахстан от 14 января 2016 года № 6. Зарегистрирован в Министерстве юстиции Республики Казахстан 16 февраля 2016 года № 13087. Утратил силу совместным приказом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17 и Министра культуры и спорта РК от 28.02.2022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527 и Министра культуры и спорта Республики Казахстан от 26 ноября 2014 года № 112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(зарегистрированный в Реестре государственной регистрации нормативных правовых актов под № 9966, опубликованный в информационно-правовой системе "Әділет" 4 февраля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лотерей, утвержденных указанным совместным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замораживание операций с деньгами и (или) иным имуществом – меры, принимаемые Субъектами путем отказа в проведении операций с деньгами и (или) иным имуществом, совершаемых организацией или физическим лицом, включенным в перечень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лицо, принимающее участие в азартной игре и (или) пари либо оплатившее участие в лотерее;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и информации об операции, подлежащей финансовому мониторингу – форма, определяемая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Правительством Республики Казахстан от 23 ноября 2012 года № 1484 (далее – Форма ФМ-1);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отказа физическому лицу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принятия мер по замораживанию операций с деньгами и (или) иным имуществом и прекращения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порядок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Субъекты в соответствии с возложенными функциями: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программе управления риском ОД/ФТ высокий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клиент,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/>
          <w:i w:val="false"/>
          <w:color w:val="000000"/>
          <w:sz w:val="28"/>
        </w:rPr>
        <w:t xml:space="preserve"> 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клиента ранее были признаны подозрительными;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осуществляемой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риска,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зонах, утвержденных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ОД/ФТ,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Программа подготовки и обучения по вопросам ПОД/ФТ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обучению работников, утвержденными приказом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10001.".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6 февраля 2016 года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