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6d1c" w14:textId="0b46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27 мня 2013 года № 137 "Об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223. Зарегистрировано в Министерстве юстиции Республики Казахстан 3 февраля 2016 года № 13000. Утратило силу постановлением Правления Национального Банка Республики Казахстан от 26 февраля 2018 года № 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2013 года № 137 "Об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потерь" (зарегистрированное в Реестре государственной регистрации нормативных правовых актов под № 8591, опубликованное 6 сентября 2013 года в газете "Юридическая газета" № 134 (2509))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 на казахском языке внесено изменение, текст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 на казахском языке внесено изменение,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банками второго уровня динамического резерва, утвержденных указанным постановлением (далее - Правила):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Если иное не установлено в пункте 2-2 Правил, размер динамического резерва на конец отчетного квартала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/>
          <w:color w:val="000000"/>
          <w:sz w:val="28"/>
        </w:rPr>
        <w:t xml:space="preserve"> = ДР</w:t>
      </w:r>
      <w:r>
        <w:rPr>
          <w:rFonts w:ascii="Times New Roman"/>
          <w:b w:val="false"/>
          <w:i w:val="false"/>
          <w:color w:val="000000"/>
          <w:vertAlign w:val="subscript"/>
        </w:rPr>
        <w:t>к-1</w:t>
      </w:r>
      <w:r>
        <w:rPr>
          <w:rFonts w:ascii="Times New Roman"/>
          <w:b w:val="false"/>
          <w:i/>
          <w:color w:val="000000"/>
          <w:sz w:val="28"/>
        </w:rPr>
        <w:t xml:space="preserve"> + (ОП-РСП),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ДР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динамический резерв на конец отчетного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ДР</w:t>
      </w:r>
      <w:r>
        <w:rPr>
          <w:rFonts w:ascii="Times New Roman"/>
          <w:b w:val="false"/>
          <w:i w:val="false"/>
          <w:color w:val="000000"/>
          <w:vertAlign w:val="subscript"/>
        </w:rPr>
        <w:t>к-1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динамический резерв на конец предыдущего отчетного квартала. По состоянию на 1 января 2013 года динамический резерв равен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- ожидаемые потери за отчетный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РСП - ассигнования на резервы за минусом доходов от восстановления резервов, за отчетный квартал, отнесенные на вычеты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"О налогах и других обязательных платежах в бюджет (Налоговый кодекс)".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Ассигнования на резервы - расходы на создание резервов под займы в соответствии с международными стандартами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восстановления резервов - доход, возникший в результате уменьшения суммы ранее созданных резервов под займы, за исключением случая, когда уменьшение резервов происходит в результате списания займа с баланса.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налогообложения размер динамического резерва определяется как положительная разница между размером динамического резерва, определенного на конец налогового периода и размером динамического резерва, определенного на конец предыдущего налогового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динамического резерва составляет не менее нуля.";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Размер динамического резерва определяется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динамический резерв на конец первого, второго, третьего, четвертого кварталов 2014 года определяется в размере динамического резерва на конец четвертого квартала 2013 года, исчисленного по формуле в соответствии с пунктом 2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исчисления динамического резерва на конец четвертого квартала 2014 года значение показателя РСП, определенного в соответствии с пунктом 2 Правил, при исчислении динамического резерва на конец первого, второго, третьего, четвертого кварталов 2013 года признается равным нулю, если РСП имеет отрицательное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динамический резерв на конец первого, второго, третьего, четвертого кварталов 2015 года определяется в размере динамического резерва на конец четвертого квартала 2014 года, исчисленного в соответствии с подпунктом 1)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динамический резерв на конец первого, второго, третьего, четвертого кварталов 2016 года определяется в размере динамического резерва на конец четвертого квартала 2015 года, исчисленного в соответствии с подпунктом 2) настоящего пункта.".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контроля и надзора (Абдрахманов Н.А.)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-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отношения, возникшие с 1 января 2016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шестой, с шестнадцатого по двадцать первый пункта 1 настоящего постановления действуют до 1 января 2017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пункта 2 Правил с 1 января 2017 года действует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Размер динамического резерва на конец отчетного квартала рассчитывается по следующей формуле:".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