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9ada" w14:textId="a309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информатизации, связи, за соблюдением законодательства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по инвестициям и развитию Республики Казахстан от 30 декабря 2015 года № 1275 и и.о. Министра национальной экономики Республики Казахстан от 31 декабря 2015 года № 841. Зарегистрирован в Министерстве юстиции Республики Казахстан 3 февраля 2016 года № 12990. Утратил силу совместным приказом Министра цифрового развития, оборонной и аэрокосмической промышленности Республики Казахстан от 4 июня 2019 года № 114/НҚ и Министра национальной экономики Республики Казахстан от 6 июня 2019 года № 52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цифрового развития, оборонной и аэрокосмической промышленности РК от 04.06.2019 </w:t>
      </w:r>
      <w:r>
        <w:rPr>
          <w:rFonts w:ascii="Times New Roman"/>
          <w:b w:val="false"/>
          <w:i w:val="false"/>
          <w:color w:val="ff0000"/>
          <w:sz w:val="28"/>
        </w:rPr>
        <w:t>№ 114/НҚ</w:t>
      </w:r>
      <w:r>
        <w:rPr>
          <w:rFonts w:ascii="Times New Roman"/>
          <w:b w:val="false"/>
          <w:i w:val="false"/>
          <w:color w:val="ff0000"/>
          <w:sz w:val="28"/>
        </w:rPr>
        <w:t xml:space="preserve"> и Министра национальной экономики РК от 06.06.2019 № 52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1. Утвердить:</w:t>
      </w:r>
    </w:p>
    <w:bookmarkEnd w:id="1"/>
    <w:bookmarkStart w:name="z71"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области информатизации согласно приложению 1 к настоящему совместному приказу;</w:t>
      </w:r>
    </w:p>
    <w:bookmarkEnd w:id="2"/>
    <w:bookmarkStart w:name="z72"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области связи согласно приложению 2 к настоящему совместному приказу;</w:t>
      </w:r>
    </w:p>
    <w:bookmarkEnd w:id="3"/>
    <w:bookmarkStart w:name="z73"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Проверочный лист</w:t>
      </w:r>
      <w:r>
        <w:rPr>
          <w:rFonts w:ascii="Times New Roman"/>
          <w:b w:val="false"/>
          <w:i w:val="false"/>
          <w:color w:val="000000"/>
          <w:sz w:val="28"/>
        </w:rPr>
        <w:t xml:space="preserve"> в сфере информатизации согласно приложению 3 к настоящему совместному приказу;</w:t>
      </w:r>
    </w:p>
    <w:bookmarkEnd w:id="4"/>
    <w:bookmarkStart w:name="z74" w:id="5"/>
    <w:p>
      <w:pPr>
        <w:spacing w:after="0"/>
        <w:ind w:left="0"/>
        <w:jc w:val="both"/>
      </w:pPr>
      <w:r>
        <w:rPr>
          <w:rFonts w:ascii="Times New Roman"/>
          <w:b w:val="false"/>
          <w:i w:val="false"/>
          <w:color w:val="000000"/>
          <w:sz w:val="28"/>
        </w:rPr>
        <w:t xml:space="preserve">
      4) Проверочный лист в области связи,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75" w:id="6"/>
    <w:p>
      <w:pPr>
        <w:spacing w:after="0"/>
        <w:ind w:left="0"/>
        <w:jc w:val="both"/>
      </w:pPr>
      <w:r>
        <w:rPr>
          <w:rFonts w:ascii="Times New Roman"/>
          <w:b w:val="false"/>
          <w:i w:val="false"/>
          <w:color w:val="000000"/>
          <w:sz w:val="28"/>
        </w:rPr>
        <w:t xml:space="preserve">
      5) Проверочный лист за соблюдением законодательства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совместного приказа Министра информации и коммуникаций РК от 31.10.2018 </w:t>
      </w:r>
      <w:r>
        <w:rPr>
          <w:rFonts w:ascii="Times New Roman"/>
          <w:b w:val="false"/>
          <w:i w:val="false"/>
          <w:color w:val="000000"/>
          <w:sz w:val="28"/>
        </w:rPr>
        <w:t>№ 456</w:t>
      </w:r>
      <w:r>
        <w:rPr>
          <w:rFonts w:ascii="Times New Roman"/>
          <w:b w:val="false"/>
          <w:i w:val="false"/>
          <w:color w:val="ff0000"/>
          <w:sz w:val="28"/>
        </w:rPr>
        <w:t xml:space="preserve"> и Министра национальной экономики РК от 31.10.2018 № 40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2. Признать утратившим силу:</w:t>
      </w:r>
    </w:p>
    <w:bookmarkEnd w:id="7"/>
    <w:p>
      <w:pPr>
        <w:spacing w:after="0"/>
        <w:ind w:left="0"/>
        <w:jc w:val="both"/>
      </w:pPr>
      <w:r>
        <w:rPr>
          <w:rFonts w:ascii="Times New Roman"/>
          <w:b w:val="false"/>
          <w:i w:val="false"/>
          <w:color w:val="000000"/>
          <w:sz w:val="28"/>
        </w:rPr>
        <w:t xml:space="preserve">
      1)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июня 2015 года № 735 и исполняющего обязанности Министра национальной экономики Республики Казахстан от 30 июня 2015 года № 494 "Об утверждении критериев оценки степени рисков в области информатизации, связи, за соблюдением законодательства Республики Казахстан об электронном документе и электронной цифровой подписи" (зарегистрированный в Реестре государственной регистрации нормативных правовых актов за № 11891, опубликованный в информационно-правовой системе "Әділет" от 30 октября 2015 года);</w:t>
      </w:r>
    </w:p>
    <w:p>
      <w:pPr>
        <w:spacing w:after="0"/>
        <w:ind w:left="0"/>
        <w:jc w:val="both"/>
      </w:pPr>
      <w:r>
        <w:rPr>
          <w:rFonts w:ascii="Times New Roman"/>
          <w:b w:val="false"/>
          <w:i w:val="false"/>
          <w:color w:val="000000"/>
          <w:sz w:val="28"/>
        </w:rPr>
        <w:t xml:space="preserve">
      2)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июня 2015 года № 734 и исполняющего обязанности Министра национальной экономики Республики Казахстан от 30 июня 2015 года № 493 "Об утверждении форм проверочных листов в области информатизации, связи, за соблюдением законодательства Республики Казахстан об электронном документе и электронной цифровой подписи" (зарегистрированный в Реестре государственной регистрации нормативных правовых актов за № 11890, опубликованный в информационно-правовой системе "Әділет" от 30 октября 2015 года).</w:t>
      </w:r>
    </w:p>
    <w:bookmarkStart w:name="z4" w:id="8"/>
    <w:p>
      <w:pPr>
        <w:spacing w:after="0"/>
        <w:ind w:left="0"/>
        <w:jc w:val="both"/>
      </w:pPr>
      <w:r>
        <w:rPr>
          <w:rFonts w:ascii="Times New Roman"/>
          <w:b w:val="false"/>
          <w:i w:val="false"/>
          <w:color w:val="000000"/>
          <w:sz w:val="28"/>
        </w:rPr>
        <w:t>
      3. Комитету связи, информатизации и информации Министерства по инвестициям и развитию Республики Казахстан (Қазанғап Т.Б.)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информационно-правовую систему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совместного приказа.</w:t>
      </w:r>
    </w:p>
    <w:bookmarkStart w:name="z5" w:id="9"/>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по инвестициям и развитию Республики Казахстан.</w:t>
      </w:r>
    </w:p>
    <w:bookmarkEnd w:id="9"/>
    <w:bookmarkStart w:name="z6" w:id="10"/>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6680"/>
        <w:gridCol w:w="5620"/>
      </w:tblGrid>
      <w:tr>
        <w:trPr>
          <w:trHeight w:val="30" w:hRule="atLeast"/>
        </w:trPr>
        <w:tc>
          <w:tcPr>
            <w:tcW w:w="6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w:t>
            </w:r>
            <w:r>
              <w:br/>
            </w:r>
            <w:r>
              <w:rPr>
                <w:rFonts w:ascii="Times New Roman"/>
                <w:b w:val="false"/>
                <w:i w:val="false"/>
                <w:color w:val="000000"/>
                <w:sz w:val="20"/>
              </w:rPr>
              <w:t>Казахстан</w:t>
            </w:r>
            <w:r>
              <w:br/>
            </w:r>
            <w:r>
              <w:rPr>
                <w:rFonts w:ascii="Times New Roman"/>
                <w:b w:val="false"/>
                <w:i w:val="false"/>
                <w:color w:val="000000"/>
                <w:sz w:val="20"/>
              </w:rPr>
              <w:t>______________Ж. Касымбек</w:t>
            </w:r>
          </w:p>
        </w:tc>
        <w:tc>
          <w:tcPr>
            <w:tcW w:w="5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___________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w:t>
      </w:r>
    </w:p>
    <w:p>
      <w:pPr>
        <w:spacing w:after="0"/>
        <w:ind w:left="0"/>
        <w:jc w:val="both"/>
      </w:pPr>
      <w:r>
        <w:rPr>
          <w:rFonts w:ascii="Times New Roman"/>
          <w:b w:val="false"/>
          <w:i w:val="false"/>
          <w:color w:val="000000"/>
          <w:sz w:val="28"/>
        </w:rPr>
        <w:t xml:space="preserve">
      правовой статистике и   </w:t>
      </w:r>
    </w:p>
    <w:p>
      <w:pPr>
        <w:spacing w:after="0"/>
        <w:ind w:left="0"/>
        <w:jc w:val="both"/>
      </w:pPr>
      <w:r>
        <w:rPr>
          <w:rFonts w:ascii="Times New Roman"/>
          <w:b w:val="false"/>
          <w:i w:val="false"/>
          <w:color w:val="000000"/>
          <w:sz w:val="28"/>
        </w:rPr>
        <w:t xml:space="preserve">
      специальным учетам Генеральной   </w:t>
      </w:r>
    </w:p>
    <w:p>
      <w:pPr>
        <w:spacing w:after="0"/>
        <w:ind w:left="0"/>
        <w:jc w:val="both"/>
      </w:pPr>
      <w:r>
        <w:rPr>
          <w:rFonts w:ascii="Times New Roman"/>
          <w:b w:val="false"/>
          <w:i w:val="false"/>
          <w:color w:val="000000"/>
          <w:sz w:val="28"/>
        </w:rPr>
        <w:t xml:space="preserve">
      прокуратуры Республики Казахстан   </w:t>
      </w:r>
    </w:p>
    <w:p>
      <w:pPr>
        <w:spacing w:after="0"/>
        <w:ind w:left="0"/>
        <w:jc w:val="both"/>
      </w:pPr>
      <w:r>
        <w:rPr>
          <w:rFonts w:ascii="Times New Roman"/>
          <w:b w:val="false"/>
          <w:i w:val="false"/>
          <w:color w:val="000000"/>
          <w:sz w:val="28"/>
        </w:rPr>
        <w:t xml:space="preserve">
      _______________ С. Айтпаева   </w:t>
      </w:r>
    </w:p>
    <w:p>
      <w:pPr>
        <w:spacing w:after="0"/>
        <w:ind w:left="0"/>
        <w:jc w:val="both"/>
      </w:pPr>
      <w:r>
        <w:rPr>
          <w:rFonts w:ascii="Times New Roman"/>
          <w:b w:val="false"/>
          <w:i w:val="false"/>
          <w:color w:val="000000"/>
          <w:sz w:val="28"/>
        </w:rPr>
        <w:t>
      31 декабря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8" w:id="11"/>
    <w:p>
      <w:pPr>
        <w:spacing w:after="0"/>
        <w:ind w:left="0"/>
        <w:jc w:val="left"/>
      </w:pPr>
      <w:r>
        <w:rPr>
          <w:rFonts w:ascii="Times New Roman"/>
          <w:b/>
          <w:i w:val="false"/>
          <w:color w:val="000000"/>
        </w:rPr>
        <w:t xml:space="preserve"> Критерии оценки степени риска в сфере информатизации</w:t>
      </w:r>
    </w:p>
    <w:bookmarkEnd w:id="11"/>
    <w:p>
      <w:pPr>
        <w:spacing w:after="0"/>
        <w:ind w:left="0"/>
        <w:jc w:val="both"/>
      </w:pPr>
      <w:r>
        <w:rPr>
          <w:rFonts w:ascii="Times New Roman"/>
          <w:b w:val="false"/>
          <w:i w:val="false"/>
          <w:color w:val="ff0000"/>
          <w:sz w:val="28"/>
        </w:rPr>
        <w:t xml:space="preserve">
      Сноска. Критерии в редакции совместного приказа Министра информации и коммуникаций РК от 31.10.2018 </w:t>
      </w:r>
      <w:r>
        <w:rPr>
          <w:rFonts w:ascii="Times New Roman"/>
          <w:b w:val="false"/>
          <w:i w:val="false"/>
          <w:color w:val="ff0000"/>
          <w:sz w:val="28"/>
        </w:rPr>
        <w:t>№ 456</w:t>
      </w:r>
      <w:r>
        <w:rPr>
          <w:rFonts w:ascii="Times New Roman"/>
          <w:b w:val="false"/>
          <w:i w:val="false"/>
          <w:color w:val="ff0000"/>
          <w:sz w:val="28"/>
        </w:rPr>
        <w:t xml:space="preserve"> и Министра национальной экономики РК от 31.10.2018 № 40 (вводится в действие по истечении десяти календарных дней после дня его первого официального опубликования).</w:t>
      </w:r>
    </w:p>
    <w:bookmarkStart w:name="z76" w:id="12"/>
    <w:p>
      <w:pPr>
        <w:spacing w:after="0"/>
        <w:ind w:left="0"/>
        <w:jc w:val="left"/>
      </w:pPr>
      <w:r>
        <w:rPr>
          <w:rFonts w:ascii="Times New Roman"/>
          <w:b/>
          <w:i w:val="false"/>
          <w:color w:val="000000"/>
        </w:rPr>
        <w:t xml:space="preserve"> Глава 1. Общие положения</w:t>
      </w:r>
    </w:p>
    <w:bookmarkEnd w:id="12"/>
    <w:bookmarkStart w:name="z77" w:id="13"/>
    <w:p>
      <w:pPr>
        <w:spacing w:after="0"/>
        <w:ind w:left="0"/>
        <w:jc w:val="both"/>
      </w:pPr>
      <w:r>
        <w:rPr>
          <w:rFonts w:ascii="Times New Roman"/>
          <w:b w:val="false"/>
          <w:i w:val="false"/>
          <w:color w:val="000000"/>
          <w:sz w:val="28"/>
        </w:rPr>
        <w:t xml:space="preserve">
      1. Настоящие Критерии оценки степени риска в сфере информатизации (далее – Критерии) разработаны в соответствии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и Правилами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 для отнесения проверяемых субъектов к степеням риска и отбора проверяемых субъектов при проведении профилактического контроля с посещением субъекта (объекта) контроля.</w:t>
      </w:r>
    </w:p>
    <w:bookmarkEnd w:id="13"/>
    <w:bookmarkStart w:name="z78" w:id="14"/>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4"/>
    <w:bookmarkStart w:name="z79" w:id="15"/>
    <w:p>
      <w:pPr>
        <w:spacing w:after="0"/>
        <w:ind w:left="0"/>
        <w:jc w:val="both"/>
      </w:pPr>
      <w:r>
        <w:rPr>
          <w:rFonts w:ascii="Times New Roman"/>
          <w:b w:val="false"/>
          <w:i w:val="false"/>
          <w:color w:val="000000"/>
          <w:sz w:val="28"/>
        </w:rPr>
        <w:t>
      1) проверяемые субъекты в сфере информатизации (далее – проверяемые субъекты) – собственники или владельцы объектов информатизации;</w:t>
      </w:r>
    </w:p>
    <w:bookmarkEnd w:id="15"/>
    <w:bookmarkStart w:name="z80" w:id="16"/>
    <w:p>
      <w:pPr>
        <w:spacing w:after="0"/>
        <w:ind w:left="0"/>
        <w:jc w:val="both"/>
      </w:pPr>
      <w:r>
        <w:rPr>
          <w:rFonts w:ascii="Times New Roman"/>
          <w:b w:val="false"/>
          <w:i w:val="false"/>
          <w:color w:val="000000"/>
          <w:sz w:val="28"/>
        </w:rPr>
        <w:t>
      2) значительное нарушение – несоблюдение требований по сохранности, защиты, восстановлению электронных информационных ресурсов в случае сбоя или повреждения информационных систем государственного органа, несоблюдение требований по осуществлению автоматизированного учета, сохранности и периодического архивирования сведений об обращениях к информационной системе государственного органа, а также требований по сбору, обработке и хранению персональных данных, наличие двух или более подтвержденных жалоб или обращений в области информатизации;</w:t>
      </w:r>
    </w:p>
    <w:bookmarkEnd w:id="16"/>
    <w:bookmarkStart w:name="z81" w:id="17"/>
    <w:p>
      <w:pPr>
        <w:spacing w:after="0"/>
        <w:ind w:left="0"/>
        <w:jc w:val="both"/>
      </w:pPr>
      <w:r>
        <w:rPr>
          <w:rFonts w:ascii="Times New Roman"/>
          <w:b w:val="false"/>
          <w:i w:val="false"/>
          <w:color w:val="000000"/>
          <w:sz w:val="28"/>
        </w:rPr>
        <w:t>
      3) незначительное нарушение – отсутствие документов подтверждающих получение согласия субъекта на сбор и обработку его персональных данных в случаях, предусмотренных законодательством Республики Казахстан, наличие одной подтвержденной жалобы или обращения в области информатизации;</w:t>
      </w:r>
    </w:p>
    <w:bookmarkEnd w:id="17"/>
    <w:bookmarkStart w:name="z82" w:id="18"/>
    <w:p>
      <w:pPr>
        <w:spacing w:after="0"/>
        <w:ind w:left="0"/>
        <w:jc w:val="both"/>
      </w:pPr>
      <w:r>
        <w:rPr>
          <w:rFonts w:ascii="Times New Roman"/>
          <w:b w:val="false"/>
          <w:i w:val="false"/>
          <w:color w:val="000000"/>
          <w:sz w:val="28"/>
        </w:rPr>
        <w:t>
      4) грубое нарушение – нарушения, которые могут привести к неправомерному распространению и использованию информации государственных органов и персональные данные, а также ее искажение и утерю;</w:t>
      </w:r>
    </w:p>
    <w:bookmarkEnd w:id="18"/>
    <w:bookmarkStart w:name="z83" w:id="19"/>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9"/>
    <w:bookmarkStart w:name="z84" w:id="20"/>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0"/>
    <w:bookmarkStart w:name="z85" w:id="21"/>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1"/>
    <w:bookmarkStart w:name="z86" w:id="22"/>
    <w:p>
      <w:pPr>
        <w:spacing w:after="0"/>
        <w:ind w:left="0"/>
        <w:jc w:val="both"/>
      </w:pPr>
      <w:r>
        <w:rPr>
          <w:rFonts w:ascii="Times New Roman"/>
          <w:b w:val="false"/>
          <w:i w:val="false"/>
          <w:color w:val="000000"/>
          <w:sz w:val="28"/>
        </w:rPr>
        <w:t>
      8) система оценки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22"/>
    <w:bookmarkStart w:name="z87" w:id="23"/>
    <w:p>
      <w:pPr>
        <w:spacing w:after="0"/>
        <w:ind w:left="0"/>
        <w:jc w:val="both"/>
      </w:pPr>
      <w:r>
        <w:rPr>
          <w:rFonts w:ascii="Times New Roman"/>
          <w:b w:val="false"/>
          <w:i w:val="false"/>
          <w:color w:val="000000"/>
          <w:sz w:val="28"/>
        </w:rPr>
        <w:t>
      9)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3"/>
    <w:bookmarkStart w:name="z88" w:id="24"/>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w:t>
      </w:r>
    </w:p>
    <w:bookmarkEnd w:id="24"/>
    <w:bookmarkStart w:name="z89" w:id="25"/>
    <w:p>
      <w:pPr>
        <w:spacing w:after="0"/>
        <w:ind w:left="0"/>
        <w:jc w:val="left"/>
      </w:pPr>
      <w:r>
        <w:rPr>
          <w:rFonts w:ascii="Times New Roman"/>
          <w:b/>
          <w:i w:val="false"/>
          <w:color w:val="000000"/>
        </w:rPr>
        <w:t xml:space="preserve"> Глава 2. Объективные критерии</w:t>
      </w:r>
    </w:p>
    <w:bookmarkEnd w:id="25"/>
    <w:bookmarkStart w:name="z90" w:id="26"/>
    <w:p>
      <w:pPr>
        <w:spacing w:after="0"/>
        <w:ind w:left="0"/>
        <w:jc w:val="both"/>
      </w:pPr>
      <w:r>
        <w:rPr>
          <w:rFonts w:ascii="Times New Roman"/>
          <w:b w:val="false"/>
          <w:i w:val="false"/>
          <w:color w:val="000000"/>
          <w:sz w:val="28"/>
        </w:rPr>
        <w:t>
      4. Определение риска в сфере информатизации осуществляется в зависимости от вероятности причинения вреда в результате деятельности проверяемого субъекта законным интересам физических и юридических лиц, имущественным интересам государства деятельностью проверяемых субъектов, связанную с бесконтрольным использованием информационных систем, интегрируемых с государственными информационными системами, а также содержащих персональные данные, которое может привести к незаконному распространению, использованию и обработке информации государственных органов, а также персональных данных путем несанкционированного доступа к информационным системам.</w:t>
      </w:r>
    </w:p>
    <w:bookmarkEnd w:id="26"/>
    <w:bookmarkStart w:name="z91" w:id="27"/>
    <w:p>
      <w:pPr>
        <w:spacing w:after="0"/>
        <w:ind w:left="0"/>
        <w:jc w:val="both"/>
      </w:pPr>
      <w:r>
        <w:rPr>
          <w:rFonts w:ascii="Times New Roman"/>
          <w:b w:val="false"/>
          <w:i w:val="false"/>
          <w:color w:val="000000"/>
          <w:sz w:val="28"/>
        </w:rPr>
        <w:t>
      5. В сфере информатизации к высокой степени риска относятся проверяемые субъекты, собственник или владелец объектов информатизации государственных органов и квазигосударственного сектора, а также собственник или владелец электронных информационных ресурсов, содержащих персональные данные.</w:t>
      </w:r>
    </w:p>
    <w:bookmarkEnd w:id="27"/>
    <w:bookmarkStart w:name="z92" w:id="28"/>
    <w:p>
      <w:pPr>
        <w:spacing w:after="0"/>
        <w:ind w:left="0"/>
        <w:jc w:val="both"/>
      </w:pPr>
      <w:r>
        <w:rPr>
          <w:rFonts w:ascii="Times New Roman"/>
          <w:b w:val="false"/>
          <w:i w:val="false"/>
          <w:color w:val="000000"/>
          <w:sz w:val="28"/>
        </w:rPr>
        <w:t>
      6. К проверяемым субъектам, не отнесенным, к высокой степени риска относятся проверяемые субъекты, собственник или владелец негосударственных информационных систем, интегрируемых с информационными системами государственных органов.</w:t>
      </w:r>
    </w:p>
    <w:bookmarkEnd w:id="28"/>
    <w:bookmarkStart w:name="z93" w:id="29"/>
    <w:p>
      <w:pPr>
        <w:spacing w:after="0"/>
        <w:ind w:left="0"/>
        <w:jc w:val="both"/>
      </w:pPr>
      <w:r>
        <w:rPr>
          <w:rFonts w:ascii="Times New Roman"/>
          <w:b w:val="false"/>
          <w:i w:val="false"/>
          <w:color w:val="000000"/>
          <w:sz w:val="28"/>
        </w:rPr>
        <w:t>
      7.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29"/>
    <w:bookmarkStart w:name="z94" w:id="30"/>
    <w:p>
      <w:pPr>
        <w:spacing w:after="0"/>
        <w:ind w:left="0"/>
        <w:jc w:val="left"/>
      </w:pPr>
      <w:r>
        <w:rPr>
          <w:rFonts w:ascii="Times New Roman"/>
          <w:b/>
          <w:i w:val="false"/>
          <w:color w:val="000000"/>
        </w:rPr>
        <w:t xml:space="preserve"> Глава 3. Субъективные критерии</w:t>
      </w:r>
    </w:p>
    <w:bookmarkEnd w:id="30"/>
    <w:bookmarkStart w:name="z95" w:id="31"/>
    <w:p>
      <w:pPr>
        <w:spacing w:after="0"/>
        <w:ind w:left="0"/>
        <w:jc w:val="both"/>
      </w:pPr>
      <w:r>
        <w:rPr>
          <w:rFonts w:ascii="Times New Roman"/>
          <w:b w:val="false"/>
          <w:i w:val="false"/>
          <w:color w:val="000000"/>
          <w:sz w:val="28"/>
        </w:rPr>
        <w:t>
      8. Субъективные критерии разработаны на основании требований законодательства Республики Казахстан в сфере информатизации (далее – требования) перечисленных в проверочных листах, которые подразделены на три степени и приведены в приложении к настоящим Критериям:</w:t>
      </w:r>
    </w:p>
    <w:bookmarkEnd w:id="31"/>
    <w:bookmarkStart w:name="z96" w:id="32"/>
    <w:p>
      <w:pPr>
        <w:spacing w:after="0"/>
        <w:ind w:left="0"/>
        <w:jc w:val="both"/>
      </w:pPr>
      <w:r>
        <w:rPr>
          <w:rFonts w:ascii="Times New Roman"/>
          <w:b w:val="false"/>
          <w:i w:val="false"/>
          <w:color w:val="000000"/>
          <w:sz w:val="28"/>
        </w:rPr>
        <w:t>
      1) грубая;</w:t>
      </w:r>
    </w:p>
    <w:bookmarkEnd w:id="32"/>
    <w:bookmarkStart w:name="z97" w:id="33"/>
    <w:p>
      <w:pPr>
        <w:spacing w:after="0"/>
        <w:ind w:left="0"/>
        <w:jc w:val="both"/>
      </w:pPr>
      <w:r>
        <w:rPr>
          <w:rFonts w:ascii="Times New Roman"/>
          <w:b w:val="false"/>
          <w:i w:val="false"/>
          <w:color w:val="000000"/>
          <w:sz w:val="28"/>
        </w:rPr>
        <w:t>
      2) значительная;</w:t>
      </w:r>
    </w:p>
    <w:bookmarkEnd w:id="33"/>
    <w:bookmarkStart w:name="z98" w:id="34"/>
    <w:p>
      <w:pPr>
        <w:spacing w:after="0"/>
        <w:ind w:left="0"/>
        <w:jc w:val="both"/>
      </w:pPr>
      <w:r>
        <w:rPr>
          <w:rFonts w:ascii="Times New Roman"/>
          <w:b w:val="false"/>
          <w:i w:val="false"/>
          <w:color w:val="000000"/>
          <w:sz w:val="28"/>
        </w:rPr>
        <w:t>
      3) незначительная.</w:t>
      </w:r>
    </w:p>
    <w:bookmarkEnd w:id="34"/>
    <w:bookmarkStart w:name="z99" w:id="35"/>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35"/>
    <w:bookmarkStart w:name="z100" w:id="36"/>
    <w:p>
      <w:pPr>
        <w:spacing w:after="0"/>
        <w:ind w:left="0"/>
        <w:jc w:val="both"/>
      </w:pPr>
      <w:r>
        <w:rPr>
          <w:rFonts w:ascii="Times New Roman"/>
          <w:b w:val="false"/>
          <w:i w:val="false"/>
          <w:color w:val="000000"/>
          <w:sz w:val="28"/>
        </w:rPr>
        <w:t>
      1) формирование базы данных и сбор информации;</w:t>
      </w:r>
    </w:p>
    <w:bookmarkEnd w:id="36"/>
    <w:bookmarkStart w:name="z101" w:id="37"/>
    <w:p>
      <w:pPr>
        <w:spacing w:after="0"/>
        <w:ind w:left="0"/>
        <w:jc w:val="both"/>
      </w:pPr>
      <w:r>
        <w:rPr>
          <w:rFonts w:ascii="Times New Roman"/>
          <w:b w:val="false"/>
          <w:i w:val="false"/>
          <w:color w:val="000000"/>
          <w:sz w:val="28"/>
        </w:rPr>
        <w:t>
      2) анализ информации и оценка рисков.</w:t>
      </w:r>
    </w:p>
    <w:bookmarkEnd w:id="37"/>
    <w:bookmarkStart w:name="z102" w:id="38"/>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нарушающих законодательство Республики Казахстан. Правильное использование этих сведений позволит более эффективно осуществлять государственный контроль и использовать ресурсы регулирующих органов.</w:t>
      </w:r>
    </w:p>
    <w:bookmarkEnd w:id="38"/>
    <w:bookmarkStart w:name="z103" w:id="39"/>
    <w:p>
      <w:pPr>
        <w:spacing w:after="0"/>
        <w:ind w:left="0"/>
        <w:jc w:val="both"/>
      </w:pPr>
      <w:r>
        <w:rPr>
          <w:rFonts w:ascii="Times New Roman"/>
          <w:b w:val="false"/>
          <w:i w:val="false"/>
          <w:color w:val="000000"/>
          <w:sz w:val="28"/>
        </w:rPr>
        <w:t>
      Для оценки степени рисков по субъективным критериям используются следующие источники информации:</w:t>
      </w:r>
    </w:p>
    <w:bookmarkEnd w:id="39"/>
    <w:bookmarkStart w:name="z104" w:id="40"/>
    <w:p>
      <w:pPr>
        <w:spacing w:after="0"/>
        <w:ind w:left="0"/>
        <w:jc w:val="both"/>
      </w:pPr>
      <w:r>
        <w:rPr>
          <w:rFonts w:ascii="Times New Roman"/>
          <w:b w:val="false"/>
          <w:i w:val="false"/>
          <w:color w:val="000000"/>
          <w:sz w:val="28"/>
        </w:rPr>
        <w:t>
      результаты предыдущих проверок и профилактического контроля с посещением субъектов (объектов) контроля проверяемых субъектов. При этом степень тяжести нарушений (грубое, значительное, незначительное) устанавливается в случае несоблюдения требований законодательства Республики Казахстан в сфере информатизации;</w:t>
      </w:r>
    </w:p>
    <w:bookmarkEnd w:id="40"/>
    <w:bookmarkStart w:name="z105" w:id="41"/>
    <w:p>
      <w:pPr>
        <w:spacing w:after="0"/>
        <w:ind w:left="0"/>
        <w:jc w:val="both"/>
      </w:pPr>
      <w:r>
        <w:rPr>
          <w:rFonts w:ascii="Times New Roman"/>
          <w:b w:val="false"/>
          <w:i w:val="false"/>
          <w:color w:val="000000"/>
          <w:sz w:val="28"/>
        </w:rPr>
        <w:t>
      наличие и количество подтвержденных жалоб и обращений на проверяемых субъектов, поступивших от физических или юридических лиц, государственных органов;</w:t>
      </w:r>
    </w:p>
    <w:bookmarkEnd w:id="41"/>
    <w:bookmarkStart w:name="z106" w:id="42"/>
    <w:p>
      <w:pPr>
        <w:spacing w:after="0"/>
        <w:ind w:left="0"/>
        <w:jc w:val="both"/>
      </w:pPr>
      <w:r>
        <w:rPr>
          <w:rFonts w:ascii="Times New Roman"/>
          <w:b w:val="false"/>
          <w:i w:val="false"/>
          <w:color w:val="000000"/>
          <w:sz w:val="28"/>
        </w:rPr>
        <w:t>
      результаты мониторинга сведений, представляемых субъектом контроля, в том числе посредством автоматизированных информационных систем, проводимого государственными органами.</w:t>
      </w:r>
    </w:p>
    <w:bookmarkEnd w:id="42"/>
    <w:bookmarkStart w:name="z107" w:id="43"/>
    <w:p>
      <w:pPr>
        <w:spacing w:after="0"/>
        <w:ind w:left="0"/>
        <w:jc w:val="both"/>
      </w:pPr>
      <w:r>
        <w:rPr>
          <w:rFonts w:ascii="Times New Roman"/>
          <w:b w:val="false"/>
          <w:i w:val="false"/>
          <w:color w:val="000000"/>
          <w:sz w:val="28"/>
        </w:rPr>
        <w:t>
      11. Оценка степени риска проверяемых субъектов и отнесение их к высокой или проверяемых субъектов, не отнесенных к высокой степени риска по субъективным критериям, осуществляется по следующим показателям:</w:t>
      </w:r>
    </w:p>
    <w:bookmarkEnd w:id="43"/>
    <w:bookmarkStart w:name="z108" w:id="44"/>
    <w:p>
      <w:pPr>
        <w:spacing w:after="0"/>
        <w:ind w:left="0"/>
        <w:jc w:val="both"/>
      </w:pPr>
      <w:r>
        <w:rPr>
          <w:rFonts w:ascii="Times New Roman"/>
          <w:b w:val="false"/>
          <w:i w:val="false"/>
          <w:color w:val="000000"/>
          <w:sz w:val="28"/>
        </w:rPr>
        <w:t>
      1) субъективные критерии по информационному источнику "результаты предыдущих проверок и профилактического контроля с посещением субъектов (объектов) контроля" определяются согласно приложению 1 к настоящим Критериям;</w:t>
      </w:r>
    </w:p>
    <w:bookmarkEnd w:id="44"/>
    <w:bookmarkStart w:name="z109" w:id="45"/>
    <w:p>
      <w:pPr>
        <w:spacing w:after="0"/>
        <w:ind w:left="0"/>
        <w:jc w:val="both"/>
      </w:pPr>
      <w:r>
        <w:rPr>
          <w:rFonts w:ascii="Times New Roman"/>
          <w:b w:val="false"/>
          <w:i w:val="false"/>
          <w:color w:val="000000"/>
          <w:sz w:val="28"/>
        </w:rPr>
        <w:t>
      2) субъективные критерии по информационному источнику "наличие и количество подтвержденных жалоб и обращений на проверяемые субъекты, поступивших от физических или юридических лиц, государственных органов" определяются согласно приложению 2 к настоящим Критериям.</w:t>
      </w:r>
    </w:p>
    <w:bookmarkEnd w:id="45"/>
    <w:bookmarkStart w:name="z110" w:id="46"/>
    <w:p>
      <w:pPr>
        <w:spacing w:after="0"/>
        <w:ind w:left="0"/>
        <w:jc w:val="both"/>
      </w:pPr>
      <w:r>
        <w:rPr>
          <w:rFonts w:ascii="Times New Roman"/>
          <w:b w:val="false"/>
          <w:i w:val="false"/>
          <w:color w:val="000000"/>
          <w:sz w:val="28"/>
        </w:rPr>
        <w:t>
      3) субъективные критерии по информационному источнику "результаты мониторинга сведений, представляемых субъектом контроля, в том числе посредством автоматизированных информационных систем, проводимого государственными органами" определяются согласно приложению 3 к настоящим Критериям.</w:t>
      </w:r>
    </w:p>
    <w:bookmarkEnd w:id="46"/>
    <w:bookmarkStart w:name="z111" w:id="47"/>
    <w:p>
      <w:pPr>
        <w:spacing w:after="0"/>
        <w:ind w:left="0"/>
        <w:jc w:val="both"/>
      </w:pPr>
      <w:r>
        <w:rPr>
          <w:rFonts w:ascii="Times New Roman"/>
          <w:b w:val="false"/>
          <w:i w:val="false"/>
          <w:color w:val="000000"/>
          <w:sz w:val="28"/>
        </w:rPr>
        <w:t>
      12. Определение степени риска по каждому информационному источнику определяется следующим образом.</w:t>
      </w:r>
    </w:p>
    <w:bookmarkEnd w:id="47"/>
    <w:bookmarkStart w:name="z112" w:id="48"/>
    <w:p>
      <w:pPr>
        <w:spacing w:after="0"/>
        <w:ind w:left="0"/>
        <w:jc w:val="both"/>
      </w:pPr>
      <w:r>
        <w:rPr>
          <w:rFonts w:ascii="Times New Roman"/>
          <w:b w:val="false"/>
          <w:i w:val="false"/>
          <w:color w:val="000000"/>
          <w:sz w:val="28"/>
        </w:rPr>
        <w:t>
      Одно невыполненное требование грубой степени приравнивается к показателю 100 и это является основанием для проведения профилактического контроля с посещением субъекта (объекта) контроля.</w:t>
      </w:r>
    </w:p>
    <w:bookmarkEnd w:id="48"/>
    <w:bookmarkStart w:name="z113" w:id="49"/>
    <w:p>
      <w:pPr>
        <w:spacing w:after="0"/>
        <w:ind w:left="0"/>
        <w:jc w:val="both"/>
      </w:pPr>
      <w:r>
        <w:rPr>
          <w:rFonts w:ascii="Times New Roman"/>
          <w:b w:val="false"/>
          <w:i w:val="false"/>
          <w:color w:val="000000"/>
          <w:sz w:val="28"/>
        </w:rPr>
        <w:t>
      В случае если нарушение требований грубой степени не выявлено, то для определения показателя степени риска рассчитывается суммарный показатель требований значительной и незначительной степени.</w:t>
      </w:r>
    </w:p>
    <w:bookmarkEnd w:id="49"/>
    <w:bookmarkStart w:name="z114" w:id="5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0"/>
    <w:bookmarkStart w:name="z115" w:id="51"/>
    <w:p>
      <w:pPr>
        <w:spacing w:after="0"/>
        <w:ind w:left="0"/>
        <w:jc w:val="both"/>
      </w:pPr>
      <w:r>
        <w:rPr>
          <w:rFonts w:ascii="Times New Roman"/>
          <w:b w:val="false"/>
          <w:i w:val="false"/>
          <w:color w:val="000000"/>
          <w:sz w:val="28"/>
        </w:rPr>
        <w:t>
      ∑ Р3 = (Р2 х 100/Р1) х 0,7,</w:t>
      </w:r>
    </w:p>
    <w:bookmarkEnd w:id="51"/>
    <w:bookmarkStart w:name="z116" w:id="52"/>
    <w:p>
      <w:pPr>
        <w:spacing w:after="0"/>
        <w:ind w:left="0"/>
        <w:jc w:val="both"/>
      </w:pPr>
      <w:r>
        <w:rPr>
          <w:rFonts w:ascii="Times New Roman"/>
          <w:b w:val="false"/>
          <w:i w:val="false"/>
          <w:color w:val="000000"/>
          <w:sz w:val="28"/>
        </w:rPr>
        <w:t>
      где:</w:t>
      </w:r>
    </w:p>
    <w:bookmarkEnd w:id="52"/>
    <w:bookmarkStart w:name="z117" w:id="53"/>
    <w:p>
      <w:pPr>
        <w:spacing w:after="0"/>
        <w:ind w:left="0"/>
        <w:jc w:val="both"/>
      </w:pPr>
      <w:r>
        <w:rPr>
          <w:rFonts w:ascii="Times New Roman"/>
          <w:b w:val="false"/>
          <w:i w:val="false"/>
          <w:color w:val="000000"/>
          <w:sz w:val="28"/>
        </w:rPr>
        <w:t>
      ∑ Р3 – показатель значительных нарушений;</w:t>
      </w:r>
    </w:p>
    <w:bookmarkEnd w:id="53"/>
    <w:bookmarkStart w:name="z118" w:id="54"/>
    <w:p>
      <w:pPr>
        <w:spacing w:after="0"/>
        <w:ind w:left="0"/>
        <w:jc w:val="both"/>
      </w:pPr>
      <w:r>
        <w:rPr>
          <w:rFonts w:ascii="Times New Roman"/>
          <w:b w:val="false"/>
          <w:i w:val="false"/>
          <w:color w:val="000000"/>
          <w:sz w:val="28"/>
        </w:rPr>
        <w:t>
      ∑ Р1 – требуемое количество значительных нарушений;</w:t>
      </w:r>
    </w:p>
    <w:bookmarkEnd w:id="54"/>
    <w:bookmarkStart w:name="z119" w:id="55"/>
    <w:p>
      <w:pPr>
        <w:spacing w:after="0"/>
        <w:ind w:left="0"/>
        <w:jc w:val="both"/>
      </w:pPr>
      <w:r>
        <w:rPr>
          <w:rFonts w:ascii="Times New Roman"/>
          <w:b w:val="false"/>
          <w:i w:val="false"/>
          <w:color w:val="000000"/>
          <w:sz w:val="28"/>
        </w:rPr>
        <w:t>
      ∑ Р2 – количество выявленных значительных нарушений.</w:t>
      </w:r>
    </w:p>
    <w:bookmarkEnd w:id="55"/>
    <w:bookmarkStart w:name="z120" w:id="5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56"/>
    <w:bookmarkStart w:name="z121" w:id="57"/>
    <w:p>
      <w:pPr>
        <w:spacing w:after="0"/>
        <w:ind w:left="0"/>
        <w:jc w:val="both"/>
      </w:pPr>
      <w:r>
        <w:rPr>
          <w:rFonts w:ascii="Times New Roman"/>
          <w:b w:val="false"/>
          <w:i w:val="false"/>
          <w:color w:val="000000"/>
          <w:sz w:val="28"/>
        </w:rPr>
        <w:t>
      ∑ Рн = (Р2 х 100/Р1) х 0,3,</w:t>
      </w:r>
    </w:p>
    <w:bookmarkEnd w:id="57"/>
    <w:bookmarkStart w:name="z122" w:id="58"/>
    <w:p>
      <w:pPr>
        <w:spacing w:after="0"/>
        <w:ind w:left="0"/>
        <w:jc w:val="both"/>
      </w:pPr>
      <w:r>
        <w:rPr>
          <w:rFonts w:ascii="Times New Roman"/>
          <w:b w:val="false"/>
          <w:i w:val="false"/>
          <w:color w:val="000000"/>
          <w:sz w:val="28"/>
        </w:rPr>
        <w:t>
      где:</w:t>
      </w:r>
    </w:p>
    <w:bookmarkEnd w:id="58"/>
    <w:bookmarkStart w:name="z123" w:id="59"/>
    <w:p>
      <w:pPr>
        <w:spacing w:after="0"/>
        <w:ind w:left="0"/>
        <w:jc w:val="both"/>
      </w:pPr>
      <w:r>
        <w:rPr>
          <w:rFonts w:ascii="Times New Roman"/>
          <w:b w:val="false"/>
          <w:i w:val="false"/>
          <w:color w:val="000000"/>
          <w:sz w:val="28"/>
        </w:rPr>
        <w:t>
      ∑ Рн – показатель незначительных нарушений;</w:t>
      </w:r>
    </w:p>
    <w:bookmarkEnd w:id="59"/>
    <w:bookmarkStart w:name="z124" w:id="60"/>
    <w:p>
      <w:pPr>
        <w:spacing w:after="0"/>
        <w:ind w:left="0"/>
        <w:jc w:val="both"/>
      </w:pPr>
      <w:r>
        <w:rPr>
          <w:rFonts w:ascii="Times New Roman"/>
          <w:b w:val="false"/>
          <w:i w:val="false"/>
          <w:color w:val="000000"/>
          <w:sz w:val="28"/>
        </w:rPr>
        <w:t>
      ∑ Р1 – требуемое количество незначительных нарушений;</w:t>
      </w:r>
    </w:p>
    <w:bookmarkEnd w:id="60"/>
    <w:bookmarkStart w:name="z125" w:id="61"/>
    <w:p>
      <w:pPr>
        <w:spacing w:after="0"/>
        <w:ind w:left="0"/>
        <w:jc w:val="both"/>
      </w:pPr>
      <w:r>
        <w:rPr>
          <w:rFonts w:ascii="Times New Roman"/>
          <w:b w:val="false"/>
          <w:i w:val="false"/>
          <w:color w:val="000000"/>
          <w:sz w:val="28"/>
        </w:rPr>
        <w:t>
      ∑ Р2 – количество выявленных незначительных нарушений.</w:t>
      </w:r>
    </w:p>
    <w:bookmarkEnd w:id="61"/>
    <w:bookmarkStart w:name="z126" w:id="62"/>
    <w:p>
      <w:pPr>
        <w:spacing w:after="0"/>
        <w:ind w:left="0"/>
        <w:jc w:val="both"/>
      </w:pPr>
      <w:r>
        <w:rPr>
          <w:rFonts w:ascii="Times New Roman"/>
          <w:b w:val="false"/>
          <w:i w:val="false"/>
          <w:color w:val="000000"/>
          <w:sz w:val="28"/>
        </w:rPr>
        <w:t>
      Общий показатель степени риска ( ∑ Р) рассчитывается по шкале от 0 до 100 включительно и определяется путем суммирования показателей значительных и незначительных нарушений по следующей формуле:</w:t>
      </w:r>
    </w:p>
    <w:bookmarkEnd w:id="62"/>
    <w:bookmarkStart w:name="z127" w:id="63"/>
    <w:p>
      <w:pPr>
        <w:spacing w:after="0"/>
        <w:ind w:left="0"/>
        <w:jc w:val="both"/>
      </w:pPr>
      <w:r>
        <w:rPr>
          <w:rFonts w:ascii="Times New Roman"/>
          <w:b w:val="false"/>
          <w:i w:val="false"/>
          <w:color w:val="000000"/>
          <w:sz w:val="28"/>
        </w:rPr>
        <w:t>
      ∑ Р = Р3 + Рн,</w:t>
      </w:r>
    </w:p>
    <w:bookmarkEnd w:id="63"/>
    <w:bookmarkStart w:name="z128" w:id="64"/>
    <w:p>
      <w:pPr>
        <w:spacing w:after="0"/>
        <w:ind w:left="0"/>
        <w:jc w:val="both"/>
      </w:pPr>
      <w:r>
        <w:rPr>
          <w:rFonts w:ascii="Times New Roman"/>
          <w:b w:val="false"/>
          <w:i w:val="false"/>
          <w:color w:val="000000"/>
          <w:sz w:val="28"/>
        </w:rPr>
        <w:t>
      где:</w:t>
      </w:r>
    </w:p>
    <w:bookmarkEnd w:id="64"/>
    <w:bookmarkStart w:name="z129" w:id="65"/>
    <w:p>
      <w:pPr>
        <w:spacing w:after="0"/>
        <w:ind w:left="0"/>
        <w:jc w:val="both"/>
      </w:pPr>
      <w:r>
        <w:rPr>
          <w:rFonts w:ascii="Times New Roman"/>
          <w:b w:val="false"/>
          <w:i w:val="false"/>
          <w:color w:val="000000"/>
          <w:sz w:val="28"/>
        </w:rPr>
        <w:t>
      ∑ Р – общий показатель степени риска;</w:t>
      </w:r>
    </w:p>
    <w:bookmarkEnd w:id="65"/>
    <w:bookmarkStart w:name="z130" w:id="66"/>
    <w:p>
      <w:pPr>
        <w:spacing w:after="0"/>
        <w:ind w:left="0"/>
        <w:jc w:val="both"/>
      </w:pPr>
      <w:r>
        <w:rPr>
          <w:rFonts w:ascii="Times New Roman"/>
          <w:b w:val="false"/>
          <w:i w:val="false"/>
          <w:color w:val="000000"/>
          <w:sz w:val="28"/>
        </w:rPr>
        <w:t>
      ∑ Р3 – показатель значительных нарушений;</w:t>
      </w:r>
    </w:p>
    <w:bookmarkEnd w:id="66"/>
    <w:bookmarkStart w:name="z131" w:id="67"/>
    <w:p>
      <w:pPr>
        <w:spacing w:after="0"/>
        <w:ind w:left="0"/>
        <w:jc w:val="both"/>
      </w:pPr>
      <w:r>
        <w:rPr>
          <w:rFonts w:ascii="Times New Roman"/>
          <w:b w:val="false"/>
          <w:i w:val="false"/>
          <w:color w:val="000000"/>
          <w:sz w:val="28"/>
        </w:rPr>
        <w:t>
      ∑ Рн – показатель незначительных нарушений.</w:t>
      </w:r>
    </w:p>
    <w:bookmarkEnd w:id="67"/>
    <w:bookmarkStart w:name="z132" w:id="68"/>
    <w:p>
      <w:pPr>
        <w:spacing w:after="0"/>
        <w:ind w:left="0"/>
        <w:jc w:val="both"/>
      </w:pPr>
      <w:r>
        <w:rPr>
          <w:rFonts w:ascii="Times New Roman"/>
          <w:b w:val="false"/>
          <w:i w:val="false"/>
          <w:color w:val="000000"/>
          <w:sz w:val="28"/>
        </w:rPr>
        <w:t>
      По показателям степени риска проверяемый субъект (объект) относится:</w:t>
      </w:r>
    </w:p>
    <w:bookmarkEnd w:id="68"/>
    <w:bookmarkStart w:name="z133" w:id="69"/>
    <w:p>
      <w:pPr>
        <w:spacing w:after="0"/>
        <w:ind w:left="0"/>
        <w:jc w:val="both"/>
      </w:pPr>
      <w:r>
        <w:rPr>
          <w:rFonts w:ascii="Times New Roman"/>
          <w:b w:val="false"/>
          <w:i w:val="false"/>
          <w:color w:val="000000"/>
          <w:sz w:val="28"/>
        </w:rPr>
        <w:t>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69"/>
    <w:bookmarkStart w:name="z134" w:id="70"/>
    <w:p>
      <w:pPr>
        <w:spacing w:after="0"/>
        <w:ind w:left="0"/>
        <w:jc w:val="both"/>
      </w:pPr>
      <w:r>
        <w:rPr>
          <w:rFonts w:ascii="Times New Roman"/>
          <w:b w:val="false"/>
          <w:i w:val="false"/>
          <w:color w:val="000000"/>
          <w:sz w:val="28"/>
        </w:rPr>
        <w:t>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70"/>
    <w:bookmarkStart w:name="z135" w:id="71"/>
    <w:p>
      <w:pPr>
        <w:spacing w:after="0"/>
        <w:ind w:left="0"/>
        <w:jc w:val="left"/>
      </w:pPr>
      <w:r>
        <w:rPr>
          <w:rFonts w:ascii="Times New Roman"/>
          <w:b/>
          <w:i w:val="false"/>
          <w:color w:val="000000"/>
        </w:rPr>
        <w:t xml:space="preserve"> Глава 4. Заключительные положения</w:t>
      </w:r>
    </w:p>
    <w:bookmarkEnd w:id="71"/>
    <w:bookmarkStart w:name="z136" w:id="72"/>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составляет не чаще одного раза в год и определяется по результатам проводимого анализа и оценки получаемых сведений по субъективным критериям.</w:t>
      </w:r>
    </w:p>
    <w:bookmarkEnd w:id="72"/>
    <w:bookmarkStart w:name="z137" w:id="73"/>
    <w:p>
      <w:pPr>
        <w:spacing w:after="0"/>
        <w:ind w:left="0"/>
        <w:jc w:val="both"/>
      </w:pPr>
      <w:r>
        <w:rPr>
          <w:rFonts w:ascii="Times New Roman"/>
          <w:b w:val="false"/>
          <w:i w:val="false"/>
          <w:color w:val="000000"/>
          <w:sz w:val="28"/>
        </w:rPr>
        <w:t xml:space="preserve">
      14.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73"/>
    <w:bookmarkStart w:name="z138" w:id="74"/>
    <w:p>
      <w:pPr>
        <w:spacing w:after="0"/>
        <w:ind w:left="0"/>
        <w:jc w:val="both"/>
      </w:pPr>
      <w:r>
        <w:rPr>
          <w:rFonts w:ascii="Times New Roman"/>
          <w:b w:val="false"/>
          <w:i w:val="false"/>
          <w:color w:val="000000"/>
          <w:sz w:val="28"/>
        </w:rPr>
        <w:t>
      15. Списки профилактического контроля с посещением субъекта (объекта) контроля составляются с учетом приоритетности проверяемых субъектов (объектов) с наибольшим показателем степени риска по субъективным критериям.</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информатизации</w:t>
            </w:r>
          </w:p>
        </w:tc>
      </w:tr>
    </w:tbl>
    <w:bookmarkStart w:name="z140" w:id="75"/>
    <w:p>
      <w:pPr>
        <w:spacing w:after="0"/>
        <w:ind w:left="0"/>
        <w:jc w:val="left"/>
      </w:pPr>
      <w:r>
        <w:rPr>
          <w:rFonts w:ascii="Times New Roman"/>
          <w:b/>
          <w:i w:val="false"/>
          <w:color w:val="000000"/>
        </w:rPr>
        <w:t xml:space="preserve"> Субъективные критерии по информационному источнику "результаты предыдущих проверок и профилактического контроля с посещением субъектов (объектов) контроля"</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9846"/>
        <w:gridCol w:w="695"/>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6"/>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акта приема - передачи сервисному интегратору "электронного правительства" разработанного программного обеспечения, исходных кодов (при наличии) и комплекса настроек лицензионного обеспечения информационных систем государственных органов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оригиналов технической документации на бумажных носителях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предписания об устранении нарушения в сфере информатизации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0"/>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сохранности, защиты, восстановлению электронных информационных ресурсов в случае сбоя или повреждения информационных систем государственного органа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резервному копированию и осуществлению контроля за своевременной актуализацией электронных информационных ресурсов в случае сбоя или повреждения информационных систем государственного органа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2"/>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автоматизированного учета, сохранности и периодического архивирования сведений об обращениях к информационной системе государственного органа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акта о приемке в промышленную эксплуатацию информационной системы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4"/>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экспертизы технической документации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5"/>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собственником и владельцем информационных систем требований по защите персональных данных содержащихся в информационных системах, получивших электронные информационные ресурсы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6"/>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 допущению использования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граждан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7"/>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требования субъекта и (или) оператора, а также третьего лица блокирования своих персональных данных в случае нарушения условий сбора, обработки персональных данных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8"/>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субъекта требований от собственника и (или) оператора, а также третьего лица уничтожения своих персональных данных, сбор и обработка которых произведены не законно</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9"/>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обязательств предоставления доказательств о получении согласия субъекта на сбор и обработку его персональных данных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информатизации</w:t>
            </w:r>
          </w:p>
        </w:tc>
      </w:tr>
    </w:tbl>
    <w:bookmarkStart w:name="z198" w:id="90"/>
    <w:p>
      <w:pPr>
        <w:spacing w:after="0"/>
        <w:ind w:left="0"/>
        <w:jc w:val="left"/>
      </w:pPr>
      <w:r>
        <w:rPr>
          <w:rFonts w:ascii="Times New Roman"/>
          <w:b/>
          <w:i w:val="false"/>
          <w:color w:val="000000"/>
        </w:rPr>
        <w:t xml:space="preserve"> Субъективные критерии по информационному источнику "наличие и количество подтвержденных жалоб и обращений на проверяемые субъекты, поступивших от физических или юридических лиц, государственных органов"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7591"/>
        <w:gridCol w:w="1700"/>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сфере информатизации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сфере информатизации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информатизации</w:t>
            </w:r>
          </w:p>
        </w:tc>
      </w:tr>
    </w:tbl>
    <w:bookmarkStart w:name="z212" w:id="94"/>
    <w:p>
      <w:pPr>
        <w:spacing w:after="0"/>
        <w:ind w:left="0"/>
        <w:jc w:val="left"/>
      </w:pPr>
      <w:r>
        <w:rPr>
          <w:rFonts w:ascii="Times New Roman"/>
          <w:b/>
          <w:i w:val="false"/>
          <w:color w:val="000000"/>
        </w:rPr>
        <w:t xml:space="preserve"> Субъективные критерии по информационному источнику "результаты мониторинга сведений, представляемых субъектом контроля, в том числе посредством автоматизированных информационных систем, проводимого государственными органами"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0520"/>
        <w:gridCol w:w="643"/>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5"/>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сведений об объектах информатизации государственного органа (регистрация информационных систем государственного органа, размещение копий технической документации объектов информатизации государственного органа, также актуализация информации об объектах информатизации государственного органа на архитектурном портале "электронного правительства")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32" w:id="97"/>
    <w:p>
      <w:pPr>
        <w:spacing w:after="0"/>
        <w:ind w:left="0"/>
        <w:jc w:val="left"/>
      </w:pPr>
      <w:r>
        <w:rPr>
          <w:rFonts w:ascii="Times New Roman"/>
          <w:b/>
          <w:i w:val="false"/>
          <w:color w:val="000000"/>
        </w:rPr>
        <w:t xml:space="preserve"> Критерии оценки степени риска в области связи</w:t>
      </w:r>
    </w:p>
    <w:bookmarkEnd w:id="97"/>
    <w:p>
      <w:pPr>
        <w:spacing w:after="0"/>
        <w:ind w:left="0"/>
        <w:jc w:val="both"/>
      </w:pPr>
      <w:r>
        <w:rPr>
          <w:rFonts w:ascii="Times New Roman"/>
          <w:b w:val="false"/>
          <w:i w:val="false"/>
          <w:color w:val="ff0000"/>
          <w:sz w:val="28"/>
        </w:rPr>
        <w:t xml:space="preserve">
      Сноска. Критерии в редакции совместного приказа Министра информации и коммуникаций РК от 31.10.2018 </w:t>
      </w:r>
      <w:r>
        <w:rPr>
          <w:rFonts w:ascii="Times New Roman"/>
          <w:b w:val="false"/>
          <w:i w:val="false"/>
          <w:color w:val="ff0000"/>
          <w:sz w:val="28"/>
        </w:rPr>
        <w:t>№ 456</w:t>
      </w:r>
      <w:r>
        <w:rPr>
          <w:rFonts w:ascii="Times New Roman"/>
          <w:b w:val="false"/>
          <w:i w:val="false"/>
          <w:color w:val="ff0000"/>
          <w:sz w:val="28"/>
        </w:rPr>
        <w:t xml:space="preserve"> и Министра национальной экономики РК от 31.10.2018 № 40 (вводится в действие по истечении десяти календарных дней после дня его первого официального опубликования).</w:t>
      </w:r>
    </w:p>
    <w:bookmarkStart w:name="z221" w:id="98"/>
    <w:p>
      <w:pPr>
        <w:spacing w:after="0"/>
        <w:ind w:left="0"/>
        <w:jc w:val="left"/>
      </w:pPr>
      <w:r>
        <w:rPr>
          <w:rFonts w:ascii="Times New Roman"/>
          <w:b/>
          <w:i w:val="false"/>
          <w:color w:val="000000"/>
        </w:rPr>
        <w:t xml:space="preserve"> Глава 1. Общие положения</w:t>
      </w:r>
    </w:p>
    <w:bookmarkEnd w:id="98"/>
    <w:bookmarkStart w:name="z222" w:id="99"/>
    <w:p>
      <w:pPr>
        <w:spacing w:after="0"/>
        <w:ind w:left="0"/>
        <w:jc w:val="both"/>
      </w:pPr>
      <w:r>
        <w:rPr>
          <w:rFonts w:ascii="Times New Roman"/>
          <w:b w:val="false"/>
          <w:i w:val="false"/>
          <w:color w:val="000000"/>
          <w:sz w:val="28"/>
        </w:rPr>
        <w:t xml:space="preserve">
      1. Настоящие Критерии оценки степени риска в области связи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w:t>
      </w:r>
      <w:r>
        <w:rPr>
          <w:rFonts w:ascii="Times New Roman"/>
          <w:b w:val="false"/>
          <w:i w:val="false"/>
          <w:color w:val="000000"/>
          <w:sz w:val="28"/>
        </w:rPr>
        <w:t>формы</w:t>
      </w:r>
      <w:r>
        <w:rPr>
          <w:rFonts w:ascii="Times New Roman"/>
          <w:b w:val="false"/>
          <w:i w:val="false"/>
          <w:color w:val="000000"/>
          <w:sz w:val="28"/>
        </w:rPr>
        <w:t xml:space="preserve">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 для отнесения проверяемых субъектов к степеням риска и отбора проверяемых субъектов при проведении профилактического контроля с посещением субъекта (объекта) контроля.</w:t>
      </w:r>
    </w:p>
    <w:bookmarkEnd w:id="99"/>
    <w:bookmarkStart w:name="z223" w:id="100"/>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00"/>
    <w:bookmarkStart w:name="z224" w:id="101"/>
    <w:p>
      <w:pPr>
        <w:spacing w:after="0"/>
        <w:ind w:left="0"/>
        <w:jc w:val="both"/>
      </w:pPr>
      <w:r>
        <w:rPr>
          <w:rFonts w:ascii="Times New Roman"/>
          <w:b w:val="false"/>
          <w:i w:val="false"/>
          <w:color w:val="000000"/>
          <w:sz w:val="28"/>
        </w:rPr>
        <w:t>
      1)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101"/>
    <w:bookmarkStart w:name="z225" w:id="102"/>
    <w:p>
      <w:pPr>
        <w:spacing w:after="0"/>
        <w:ind w:left="0"/>
        <w:jc w:val="both"/>
      </w:pPr>
      <w:r>
        <w:rPr>
          <w:rFonts w:ascii="Times New Roman"/>
          <w:b w:val="false"/>
          <w:i w:val="false"/>
          <w:color w:val="000000"/>
          <w:sz w:val="28"/>
        </w:rPr>
        <w:t>
      2) проверяемые субъекты в области связи (далее – проверяемые субъекты) – операторы связи, владельцы ведомственных и корпоративных сетей телекоммуникаций, отдельного коммутационного оборудования, подключаемого к сети телекоммуникаций общего пользования, владельцы радиоэлектронных средств, являющиеся пользователями радиочастотным спектром;</w:t>
      </w:r>
    </w:p>
    <w:bookmarkEnd w:id="102"/>
    <w:bookmarkStart w:name="z226" w:id="103"/>
    <w:p>
      <w:pPr>
        <w:spacing w:after="0"/>
        <w:ind w:left="0"/>
        <w:jc w:val="both"/>
      </w:pPr>
      <w:r>
        <w:rPr>
          <w:rFonts w:ascii="Times New Roman"/>
          <w:b w:val="false"/>
          <w:i w:val="false"/>
          <w:color w:val="000000"/>
          <w:sz w:val="28"/>
        </w:rPr>
        <w:t>
      3) значительное нарушение – несоблюдение требований к сетям телекоммуникаций оператора междугородной и (или) международной связи, квалификационных требований, предоставление пользователям услуг связи несоответствующих по качеству Показателям качества услуг связи, Правилам оказания услуг связи, не исполнение предписаний при выявлении нарушения требований законодательства Республики Казахстан в области связи, наличие двух или более подтвержденных жалоб или обращений в области связи;</w:t>
      </w:r>
    </w:p>
    <w:bookmarkEnd w:id="103"/>
    <w:bookmarkStart w:name="z227" w:id="104"/>
    <w:p>
      <w:pPr>
        <w:spacing w:after="0"/>
        <w:ind w:left="0"/>
        <w:jc w:val="both"/>
      </w:pPr>
      <w:r>
        <w:rPr>
          <w:rFonts w:ascii="Times New Roman"/>
          <w:b w:val="false"/>
          <w:i w:val="false"/>
          <w:color w:val="000000"/>
          <w:sz w:val="28"/>
        </w:rPr>
        <w:t>
      4) незначительное нарушение – несоблюдение требований Правил распределения ресурса нумерации и выделения номеров, а также их изъятия, наличие одной подтвержденной жалобы или обращения в области связи;</w:t>
      </w:r>
    </w:p>
    <w:bookmarkEnd w:id="104"/>
    <w:bookmarkStart w:name="z228" w:id="105"/>
    <w:p>
      <w:pPr>
        <w:spacing w:after="0"/>
        <w:ind w:left="0"/>
        <w:jc w:val="both"/>
      </w:pPr>
      <w:r>
        <w:rPr>
          <w:rFonts w:ascii="Times New Roman"/>
          <w:b w:val="false"/>
          <w:i w:val="false"/>
          <w:color w:val="000000"/>
          <w:sz w:val="28"/>
        </w:rPr>
        <w:t>
      5) грубое нарушение – нарушения, которые могут привести к невозможности проведения оперативно-розыскных мероприятий на всех сетях связи, приостановления деятельности любых сетей и средств связи (за исключением правительственной связи) в случае наступления чрезвычайной ситуации социального, природного и техногенного характера, а также не подтверждение соответствия технических средств связи, используемых на единой сети телекоммуникаций Республики Казахстан, радиоэлектронных средств и высокочастотных устройств, являющихся источником электромагнитного излучения, технических средств почтовой связи;</w:t>
      </w:r>
    </w:p>
    <w:bookmarkEnd w:id="105"/>
    <w:bookmarkStart w:name="z229" w:id="106"/>
    <w:p>
      <w:pPr>
        <w:spacing w:after="0"/>
        <w:ind w:left="0"/>
        <w:jc w:val="both"/>
      </w:pPr>
      <w:r>
        <w:rPr>
          <w:rFonts w:ascii="Times New Roman"/>
          <w:b w:val="false"/>
          <w:i w:val="false"/>
          <w:color w:val="000000"/>
          <w:sz w:val="28"/>
        </w:rPr>
        <w:t>
      6) риск – вероятность причинения вреда в результате деятельности проверяемого субъекта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06"/>
    <w:bookmarkStart w:name="z230" w:id="107"/>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зависимости от степени риска в определенной сфере деятельности и не зависящие непосредственно от отдельного проверяемого субъекта (объекта);</w:t>
      </w:r>
    </w:p>
    <w:bookmarkEnd w:id="107"/>
    <w:bookmarkStart w:name="z231" w:id="108"/>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зависимости от результатов деятельности конкретного проверяемого субъекта (объекта);</w:t>
      </w:r>
    </w:p>
    <w:bookmarkEnd w:id="108"/>
    <w:bookmarkStart w:name="z232" w:id="109"/>
    <w:p>
      <w:pPr>
        <w:spacing w:after="0"/>
        <w:ind w:left="0"/>
        <w:jc w:val="both"/>
      </w:pPr>
      <w:r>
        <w:rPr>
          <w:rFonts w:ascii="Times New Roman"/>
          <w:b w:val="false"/>
          <w:i w:val="false"/>
          <w:color w:val="000000"/>
          <w:sz w:val="28"/>
        </w:rPr>
        <w:t>
      9) система оценки рисков – комплекс мероприятий, проводимый органом контроля, с целью назначения профилактического контроля с посещением субъекта (объекта) контроля;</w:t>
      </w:r>
    </w:p>
    <w:bookmarkEnd w:id="109"/>
    <w:bookmarkStart w:name="z233" w:id="110"/>
    <w:p>
      <w:pPr>
        <w:spacing w:after="0"/>
        <w:ind w:left="0"/>
        <w:jc w:val="both"/>
      </w:pPr>
      <w:r>
        <w:rPr>
          <w:rFonts w:ascii="Times New Roman"/>
          <w:b w:val="false"/>
          <w:i w:val="false"/>
          <w:color w:val="000000"/>
          <w:sz w:val="28"/>
        </w:rPr>
        <w:t>
      10)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110"/>
    <w:bookmarkStart w:name="z234" w:id="111"/>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контроля формируются посредством объективных и (или) субъективных критериев.</w:t>
      </w:r>
    </w:p>
    <w:bookmarkEnd w:id="111"/>
    <w:bookmarkStart w:name="z235" w:id="112"/>
    <w:p>
      <w:pPr>
        <w:spacing w:after="0"/>
        <w:ind w:left="0"/>
        <w:jc w:val="left"/>
      </w:pPr>
      <w:r>
        <w:rPr>
          <w:rFonts w:ascii="Times New Roman"/>
          <w:b/>
          <w:i w:val="false"/>
          <w:color w:val="000000"/>
        </w:rPr>
        <w:t xml:space="preserve"> Глава 2. Объективные критерии</w:t>
      </w:r>
    </w:p>
    <w:bookmarkEnd w:id="112"/>
    <w:bookmarkStart w:name="z236" w:id="113"/>
    <w:p>
      <w:pPr>
        <w:spacing w:after="0"/>
        <w:ind w:left="0"/>
        <w:jc w:val="both"/>
      </w:pPr>
      <w:r>
        <w:rPr>
          <w:rFonts w:ascii="Times New Roman"/>
          <w:b w:val="false"/>
          <w:i w:val="false"/>
          <w:color w:val="000000"/>
          <w:sz w:val="28"/>
        </w:rPr>
        <w:t>
      4. Определение риска в области связи осуществляется в зависимости от вероятности причинения вреда в результате деятельности проверяемого субъекта жизни или здоровью человека, окружающей среде, законным интересам физических и юридических лиц, имущественным интересам государства, связанного с деятельностью проверяемых субъектов в области связи и эксплуатацией высокочастотных устройств и радиоэлектронных средств.</w:t>
      </w:r>
    </w:p>
    <w:bookmarkEnd w:id="113"/>
    <w:bookmarkStart w:name="z237" w:id="114"/>
    <w:p>
      <w:pPr>
        <w:spacing w:after="0"/>
        <w:ind w:left="0"/>
        <w:jc w:val="both"/>
      </w:pPr>
      <w:r>
        <w:rPr>
          <w:rFonts w:ascii="Times New Roman"/>
          <w:b w:val="false"/>
          <w:i w:val="false"/>
          <w:color w:val="000000"/>
          <w:sz w:val="28"/>
        </w:rPr>
        <w:t>
      5. В области связи к высокой степени риска относятся проверяемые субъекты, оказывающие лицензируемые виды услуги связи, а также владельцы ведомственных и корпоративных сетей телекоммуникаций, отдельного коммутационного оборудования, подключаемого к сети телекоммуникаций общего пользования, междугородную телефонную связь, международную телефонную связь, сотовую связь (с указанием наименования стандарта).</w:t>
      </w:r>
    </w:p>
    <w:bookmarkEnd w:id="114"/>
    <w:bookmarkStart w:name="z238" w:id="115"/>
    <w:p>
      <w:pPr>
        <w:spacing w:after="0"/>
        <w:ind w:left="0"/>
        <w:jc w:val="both"/>
      </w:pPr>
      <w:r>
        <w:rPr>
          <w:rFonts w:ascii="Times New Roman"/>
          <w:b w:val="false"/>
          <w:i w:val="false"/>
          <w:color w:val="000000"/>
          <w:sz w:val="28"/>
        </w:rPr>
        <w:t>
      6. К проверяемым субъектам, не отнесенным, к высокой степени риска относятся:</w:t>
      </w:r>
    </w:p>
    <w:bookmarkEnd w:id="115"/>
    <w:bookmarkStart w:name="z239" w:id="116"/>
    <w:p>
      <w:pPr>
        <w:spacing w:after="0"/>
        <w:ind w:left="0"/>
        <w:jc w:val="both"/>
      </w:pPr>
      <w:r>
        <w:rPr>
          <w:rFonts w:ascii="Times New Roman"/>
          <w:b w:val="false"/>
          <w:i w:val="false"/>
          <w:color w:val="000000"/>
          <w:sz w:val="28"/>
        </w:rPr>
        <w:t>
      1) проверяемые субъекты, получившие лицензии на предоставление услуг спутниковой подвижной связи;</w:t>
      </w:r>
    </w:p>
    <w:bookmarkEnd w:id="116"/>
    <w:bookmarkStart w:name="z240" w:id="117"/>
    <w:p>
      <w:pPr>
        <w:spacing w:after="0"/>
        <w:ind w:left="0"/>
        <w:jc w:val="both"/>
      </w:pPr>
      <w:r>
        <w:rPr>
          <w:rFonts w:ascii="Times New Roman"/>
          <w:b w:val="false"/>
          <w:i w:val="false"/>
          <w:color w:val="000000"/>
          <w:sz w:val="28"/>
        </w:rPr>
        <w:t>
      2) владельцы радиоэлектронных средств, являющиеся пользователями радиочастотным спектром.</w:t>
      </w:r>
    </w:p>
    <w:bookmarkEnd w:id="117"/>
    <w:bookmarkStart w:name="z241" w:id="118"/>
    <w:p>
      <w:pPr>
        <w:spacing w:after="0"/>
        <w:ind w:left="0"/>
        <w:jc w:val="both"/>
      </w:pPr>
      <w:r>
        <w:rPr>
          <w:rFonts w:ascii="Times New Roman"/>
          <w:b w:val="false"/>
          <w:i w:val="false"/>
          <w:color w:val="000000"/>
          <w:sz w:val="28"/>
        </w:rPr>
        <w:t>
      7.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118"/>
    <w:bookmarkStart w:name="z242" w:id="119"/>
    <w:p>
      <w:pPr>
        <w:spacing w:after="0"/>
        <w:ind w:left="0"/>
        <w:jc w:val="left"/>
      </w:pPr>
      <w:r>
        <w:rPr>
          <w:rFonts w:ascii="Times New Roman"/>
          <w:b/>
          <w:i w:val="false"/>
          <w:color w:val="000000"/>
        </w:rPr>
        <w:t xml:space="preserve"> Глава 3. Субъективные критерии</w:t>
      </w:r>
    </w:p>
    <w:bookmarkEnd w:id="119"/>
    <w:bookmarkStart w:name="z243" w:id="120"/>
    <w:p>
      <w:pPr>
        <w:spacing w:after="0"/>
        <w:ind w:left="0"/>
        <w:jc w:val="both"/>
      </w:pPr>
      <w:r>
        <w:rPr>
          <w:rFonts w:ascii="Times New Roman"/>
          <w:b w:val="false"/>
          <w:i w:val="false"/>
          <w:color w:val="000000"/>
          <w:sz w:val="28"/>
        </w:rPr>
        <w:t>
      8. Субъективные критерии разработаны на основании требований законодательства Республики Казахстан в области связи (далее – требования) перечисленных в проверочном листе, которые подразделены на три степени и приведены в приложениях к настоящим Критериям:</w:t>
      </w:r>
    </w:p>
    <w:bookmarkEnd w:id="120"/>
    <w:bookmarkStart w:name="z244" w:id="121"/>
    <w:p>
      <w:pPr>
        <w:spacing w:after="0"/>
        <w:ind w:left="0"/>
        <w:jc w:val="both"/>
      </w:pPr>
      <w:r>
        <w:rPr>
          <w:rFonts w:ascii="Times New Roman"/>
          <w:b w:val="false"/>
          <w:i w:val="false"/>
          <w:color w:val="000000"/>
          <w:sz w:val="28"/>
        </w:rPr>
        <w:t>
      1) грубая;</w:t>
      </w:r>
    </w:p>
    <w:bookmarkEnd w:id="121"/>
    <w:bookmarkStart w:name="z245" w:id="122"/>
    <w:p>
      <w:pPr>
        <w:spacing w:after="0"/>
        <w:ind w:left="0"/>
        <w:jc w:val="both"/>
      </w:pPr>
      <w:r>
        <w:rPr>
          <w:rFonts w:ascii="Times New Roman"/>
          <w:b w:val="false"/>
          <w:i w:val="false"/>
          <w:color w:val="000000"/>
          <w:sz w:val="28"/>
        </w:rPr>
        <w:t>
      2) значительная;</w:t>
      </w:r>
    </w:p>
    <w:bookmarkEnd w:id="122"/>
    <w:bookmarkStart w:name="z246" w:id="123"/>
    <w:p>
      <w:pPr>
        <w:spacing w:after="0"/>
        <w:ind w:left="0"/>
        <w:jc w:val="both"/>
      </w:pPr>
      <w:r>
        <w:rPr>
          <w:rFonts w:ascii="Times New Roman"/>
          <w:b w:val="false"/>
          <w:i w:val="false"/>
          <w:color w:val="000000"/>
          <w:sz w:val="28"/>
        </w:rPr>
        <w:t>
      3) незначительная.</w:t>
      </w:r>
    </w:p>
    <w:bookmarkEnd w:id="123"/>
    <w:bookmarkStart w:name="z247" w:id="124"/>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124"/>
    <w:bookmarkStart w:name="z248" w:id="125"/>
    <w:p>
      <w:pPr>
        <w:spacing w:after="0"/>
        <w:ind w:left="0"/>
        <w:jc w:val="both"/>
      </w:pPr>
      <w:r>
        <w:rPr>
          <w:rFonts w:ascii="Times New Roman"/>
          <w:b w:val="false"/>
          <w:i w:val="false"/>
          <w:color w:val="000000"/>
          <w:sz w:val="28"/>
        </w:rPr>
        <w:t>
      1) формирование базы данных и сбор информации;</w:t>
      </w:r>
    </w:p>
    <w:bookmarkEnd w:id="125"/>
    <w:bookmarkStart w:name="z249" w:id="126"/>
    <w:p>
      <w:pPr>
        <w:spacing w:after="0"/>
        <w:ind w:left="0"/>
        <w:jc w:val="both"/>
      </w:pPr>
      <w:r>
        <w:rPr>
          <w:rFonts w:ascii="Times New Roman"/>
          <w:b w:val="false"/>
          <w:i w:val="false"/>
          <w:color w:val="000000"/>
          <w:sz w:val="28"/>
        </w:rPr>
        <w:t>
      2) анализ информации и оценка рисков.</w:t>
      </w:r>
    </w:p>
    <w:bookmarkEnd w:id="126"/>
    <w:bookmarkStart w:name="z250" w:id="127"/>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проверяемых субъектов, нарушающих законодательство Республики Казахстан в области связи.</w:t>
      </w:r>
    </w:p>
    <w:bookmarkEnd w:id="127"/>
    <w:bookmarkStart w:name="z251" w:id="128"/>
    <w:p>
      <w:pPr>
        <w:spacing w:after="0"/>
        <w:ind w:left="0"/>
        <w:jc w:val="both"/>
      </w:pPr>
      <w:r>
        <w:rPr>
          <w:rFonts w:ascii="Times New Roman"/>
          <w:b w:val="false"/>
          <w:i w:val="false"/>
          <w:color w:val="000000"/>
          <w:sz w:val="28"/>
        </w:rPr>
        <w:t>
      Анализ информации и оценка субъективных критериев концентрирует проверки в отношении проверяемого субъекта с наибольшим потенциальным риском. При этом при анализе и оценке не применяются данные субъективных критериев, ранее учтенных и использованных в отношении конкретного проверяемого субъекта.</w:t>
      </w:r>
    </w:p>
    <w:bookmarkEnd w:id="128"/>
    <w:bookmarkStart w:name="z252" w:id="129"/>
    <w:p>
      <w:pPr>
        <w:spacing w:after="0"/>
        <w:ind w:left="0"/>
        <w:jc w:val="both"/>
      </w:pPr>
      <w:r>
        <w:rPr>
          <w:rFonts w:ascii="Times New Roman"/>
          <w:b w:val="false"/>
          <w:i w:val="false"/>
          <w:color w:val="000000"/>
          <w:sz w:val="28"/>
        </w:rPr>
        <w:t>
      Для оценки степени рисков по субъективным критериям используются следующие источники информации:</w:t>
      </w:r>
    </w:p>
    <w:bookmarkEnd w:id="129"/>
    <w:bookmarkStart w:name="z253" w:id="130"/>
    <w:p>
      <w:pPr>
        <w:spacing w:after="0"/>
        <w:ind w:left="0"/>
        <w:jc w:val="both"/>
      </w:pPr>
      <w:r>
        <w:rPr>
          <w:rFonts w:ascii="Times New Roman"/>
          <w:b w:val="false"/>
          <w:i w:val="false"/>
          <w:color w:val="000000"/>
          <w:sz w:val="28"/>
        </w:rPr>
        <w:t>
      результаты предыдущих проверок и профилактического контроля с посещением субъектов (объектов) контроля проверяемых субъектов. При этом степень тяжести нарушений (грубое, значительное, незначительное) устанавливается в случае несоблюдения требований законодательства Республики Казахстан в области связи, отраженных в проверочных листах;</w:t>
      </w:r>
    </w:p>
    <w:bookmarkEnd w:id="130"/>
    <w:bookmarkStart w:name="z254" w:id="131"/>
    <w:p>
      <w:pPr>
        <w:spacing w:after="0"/>
        <w:ind w:left="0"/>
        <w:jc w:val="both"/>
      </w:pPr>
      <w:r>
        <w:rPr>
          <w:rFonts w:ascii="Times New Roman"/>
          <w:b w:val="false"/>
          <w:i w:val="false"/>
          <w:color w:val="000000"/>
          <w:sz w:val="28"/>
        </w:rPr>
        <w:t>
      наличие и количество подтвержденных жалоб и обращений на проверяемые субъекты, поступивших от физических или юридических лиц, государственных органов;</w:t>
      </w:r>
    </w:p>
    <w:bookmarkEnd w:id="131"/>
    <w:bookmarkStart w:name="z255" w:id="132"/>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132"/>
    <w:bookmarkStart w:name="z256" w:id="133"/>
    <w:p>
      <w:pPr>
        <w:spacing w:after="0"/>
        <w:ind w:left="0"/>
        <w:jc w:val="both"/>
      </w:pPr>
      <w:r>
        <w:rPr>
          <w:rFonts w:ascii="Times New Roman"/>
          <w:b w:val="false"/>
          <w:i w:val="false"/>
          <w:color w:val="000000"/>
          <w:sz w:val="28"/>
        </w:rPr>
        <w:t>
      результаты анализа сведений, представляемых уполномоченными органами и организациями.</w:t>
      </w:r>
    </w:p>
    <w:bookmarkEnd w:id="133"/>
    <w:bookmarkStart w:name="z257" w:id="134"/>
    <w:p>
      <w:pPr>
        <w:spacing w:after="0"/>
        <w:ind w:left="0"/>
        <w:jc w:val="both"/>
      </w:pPr>
      <w:r>
        <w:rPr>
          <w:rFonts w:ascii="Times New Roman"/>
          <w:b w:val="false"/>
          <w:i w:val="false"/>
          <w:color w:val="000000"/>
          <w:sz w:val="28"/>
        </w:rPr>
        <w:t>
      11. Оценка степени риска проверяемых субъектов и отнесение их к высокой группе риска и группе риска не отнесенных к высокой степени по субъективным критериям осуществляется по следующим показателям:</w:t>
      </w:r>
    </w:p>
    <w:bookmarkEnd w:id="134"/>
    <w:bookmarkStart w:name="z258" w:id="135"/>
    <w:p>
      <w:pPr>
        <w:spacing w:after="0"/>
        <w:ind w:left="0"/>
        <w:jc w:val="both"/>
      </w:pPr>
      <w:r>
        <w:rPr>
          <w:rFonts w:ascii="Times New Roman"/>
          <w:b w:val="false"/>
          <w:i w:val="false"/>
          <w:color w:val="000000"/>
          <w:sz w:val="28"/>
        </w:rPr>
        <w:t>
      1) субъективные критерии по информационному источнику "результаты предыдущих проверок и профилактического контроля с посещением субъектов (объектов) контроля" определяются согласно приложению 1 к настоящим Критериям;</w:t>
      </w:r>
    </w:p>
    <w:bookmarkEnd w:id="135"/>
    <w:bookmarkStart w:name="z259" w:id="136"/>
    <w:p>
      <w:pPr>
        <w:spacing w:after="0"/>
        <w:ind w:left="0"/>
        <w:jc w:val="both"/>
      </w:pPr>
      <w:r>
        <w:rPr>
          <w:rFonts w:ascii="Times New Roman"/>
          <w:b w:val="false"/>
          <w:i w:val="false"/>
          <w:color w:val="000000"/>
          <w:sz w:val="28"/>
        </w:rPr>
        <w:t>
      2) субъективные критерии по информационному источнику "наличие и количество подтвержденных жалоб и обращений на проверяемые субъекты, поступивших от физических или юридических лиц, государственных органов" определяются согласно приложению 2 к настоящим Критериям;</w:t>
      </w:r>
    </w:p>
    <w:bookmarkEnd w:id="136"/>
    <w:bookmarkStart w:name="z260" w:id="137"/>
    <w:p>
      <w:pPr>
        <w:spacing w:after="0"/>
        <w:ind w:left="0"/>
        <w:jc w:val="both"/>
      </w:pPr>
      <w:r>
        <w:rPr>
          <w:rFonts w:ascii="Times New Roman"/>
          <w:b w:val="false"/>
          <w:i w:val="false"/>
          <w:color w:val="000000"/>
          <w:sz w:val="28"/>
        </w:rPr>
        <w:t>
      3) субъективные критерии по информационному источнику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 определяются согласно приложению 3 к настоящим Критериям.</w:t>
      </w:r>
    </w:p>
    <w:bookmarkEnd w:id="137"/>
    <w:bookmarkStart w:name="z261" w:id="138"/>
    <w:p>
      <w:pPr>
        <w:spacing w:after="0"/>
        <w:ind w:left="0"/>
        <w:jc w:val="both"/>
      </w:pPr>
      <w:r>
        <w:rPr>
          <w:rFonts w:ascii="Times New Roman"/>
          <w:b w:val="false"/>
          <w:i w:val="false"/>
          <w:color w:val="000000"/>
          <w:sz w:val="28"/>
        </w:rPr>
        <w:t>
      4) субъективные критерии по информационному источнику "результаты анализа сведений, представляемых уполномоченными органами и организациями" определяются согласно приложению 4 к настоящим Критериям.</w:t>
      </w:r>
    </w:p>
    <w:bookmarkEnd w:id="138"/>
    <w:bookmarkStart w:name="z262" w:id="139"/>
    <w:p>
      <w:pPr>
        <w:spacing w:after="0"/>
        <w:ind w:left="0"/>
        <w:jc w:val="both"/>
      </w:pPr>
      <w:r>
        <w:rPr>
          <w:rFonts w:ascii="Times New Roman"/>
          <w:b w:val="false"/>
          <w:i w:val="false"/>
          <w:color w:val="000000"/>
          <w:sz w:val="28"/>
        </w:rPr>
        <w:t>
      12. Определение степени риска по каждому информационному источнику определяется следующим образом.</w:t>
      </w:r>
    </w:p>
    <w:bookmarkEnd w:id="139"/>
    <w:bookmarkStart w:name="z263" w:id="140"/>
    <w:p>
      <w:pPr>
        <w:spacing w:after="0"/>
        <w:ind w:left="0"/>
        <w:jc w:val="both"/>
      </w:pPr>
      <w:r>
        <w:rPr>
          <w:rFonts w:ascii="Times New Roman"/>
          <w:b w:val="false"/>
          <w:i w:val="false"/>
          <w:color w:val="000000"/>
          <w:sz w:val="28"/>
        </w:rPr>
        <w:t>
      Одно невыполненное требование грубой степени приравнивается к показателю 100 и это является основанием для проведения профилактического контроля с посещением субъекта (объекта) контроля.</w:t>
      </w:r>
    </w:p>
    <w:bookmarkEnd w:id="140"/>
    <w:bookmarkStart w:name="z264" w:id="141"/>
    <w:p>
      <w:pPr>
        <w:spacing w:after="0"/>
        <w:ind w:left="0"/>
        <w:jc w:val="both"/>
      </w:pPr>
      <w:r>
        <w:rPr>
          <w:rFonts w:ascii="Times New Roman"/>
          <w:b w:val="false"/>
          <w:i w:val="false"/>
          <w:color w:val="000000"/>
          <w:sz w:val="28"/>
        </w:rPr>
        <w:t>
      В случае если нарушение требований грубой степени не выявлено, то для определения показателя степени риска рассчитывается суммарный показатель требований значительной и незначительной степени.</w:t>
      </w:r>
    </w:p>
    <w:bookmarkEnd w:id="141"/>
    <w:bookmarkStart w:name="z265" w:id="14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42"/>
    <w:bookmarkStart w:name="z266"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143"/>
    <w:bookmarkStart w:name="z267" w:id="144"/>
    <w:p>
      <w:pPr>
        <w:spacing w:after="0"/>
        <w:ind w:left="0"/>
        <w:jc w:val="both"/>
      </w:pPr>
      <w:r>
        <w:rPr>
          <w:rFonts w:ascii="Times New Roman"/>
          <w:b w:val="false"/>
          <w:i w:val="false"/>
          <w:color w:val="000000"/>
          <w:sz w:val="28"/>
        </w:rPr>
        <w:t>
      где:</w:t>
      </w:r>
    </w:p>
    <w:bookmarkEnd w:id="144"/>
    <w:bookmarkStart w:name="z268"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145"/>
    <w:bookmarkStart w:name="z269"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146"/>
    <w:bookmarkStart w:name="z270"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147"/>
    <w:bookmarkStart w:name="z271" w:id="14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48"/>
    <w:bookmarkStart w:name="z272"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149"/>
    <w:bookmarkStart w:name="z273" w:id="150"/>
    <w:p>
      <w:pPr>
        <w:spacing w:after="0"/>
        <w:ind w:left="0"/>
        <w:jc w:val="both"/>
      </w:pPr>
      <w:r>
        <w:rPr>
          <w:rFonts w:ascii="Times New Roman"/>
          <w:b w:val="false"/>
          <w:i w:val="false"/>
          <w:color w:val="000000"/>
          <w:sz w:val="28"/>
        </w:rPr>
        <w:t>
      где:</w:t>
      </w:r>
    </w:p>
    <w:bookmarkEnd w:id="150"/>
    <w:bookmarkStart w:name="z274"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151"/>
    <w:bookmarkStart w:name="z275"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152"/>
    <w:bookmarkStart w:name="z276"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153"/>
    <w:bookmarkStart w:name="z277" w:id="154"/>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включительно и определяется путем суммирования показателей значительных и незначительных нарушений по следующей формуле:</w:t>
      </w:r>
    </w:p>
    <w:bookmarkEnd w:id="154"/>
    <w:bookmarkStart w:name="z278"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155"/>
    <w:bookmarkStart w:name="z279" w:id="156"/>
    <w:p>
      <w:pPr>
        <w:spacing w:after="0"/>
        <w:ind w:left="0"/>
        <w:jc w:val="both"/>
      </w:pPr>
      <w:r>
        <w:rPr>
          <w:rFonts w:ascii="Times New Roman"/>
          <w:b w:val="false"/>
          <w:i w:val="false"/>
          <w:color w:val="000000"/>
          <w:sz w:val="28"/>
        </w:rPr>
        <w:t>
      где:</w:t>
      </w:r>
    </w:p>
    <w:bookmarkEnd w:id="156"/>
    <w:bookmarkStart w:name="z280"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157"/>
    <w:bookmarkStart w:name="z281"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158"/>
    <w:bookmarkStart w:name="z282"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159"/>
    <w:bookmarkStart w:name="z283" w:id="160"/>
    <w:p>
      <w:pPr>
        <w:spacing w:after="0"/>
        <w:ind w:left="0"/>
        <w:jc w:val="both"/>
      </w:pPr>
      <w:r>
        <w:rPr>
          <w:rFonts w:ascii="Times New Roman"/>
          <w:b w:val="false"/>
          <w:i w:val="false"/>
          <w:color w:val="000000"/>
          <w:sz w:val="28"/>
        </w:rPr>
        <w:t>
      По показателям степени риска проверяемый субъект относится:</w:t>
      </w:r>
    </w:p>
    <w:bookmarkEnd w:id="160"/>
    <w:bookmarkStart w:name="z284" w:id="161"/>
    <w:p>
      <w:pPr>
        <w:spacing w:after="0"/>
        <w:ind w:left="0"/>
        <w:jc w:val="both"/>
      </w:pPr>
      <w:r>
        <w:rPr>
          <w:rFonts w:ascii="Times New Roman"/>
          <w:b w:val="false"/>
          <w:i w:val="false"/>
          <w:color w:val="000000"/>
          <w:sz w:val="28"/>
        </w:rPr>
        <w:t>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161"/>
    <w:bookmarkStart w:name="z285" w:id="162"/>
    <w:p>
      <w:pPr>
        <w:spacing w:after="0"/>
        <w:ind w:left="0"/>
        <w:jc w:val="both"/>
      </w:pPr>
      <w:r>
        <w:rPr>
          <w:rFonts w:ascii="Times New Roman"/>
          <w:b w:val="false"/>
          <w:i w:val="false"/>
          <w:color w:val="000000"/>
          <w:sz w:val="28"/>
        </w:rPr>
        <w:t>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162"/>
    <w:bookmarkStart w:name="z286" w:id="163"/>
    <w:p>
      <w:pPr>
        <w:spacing w:after="0"/>
        <w:ind w:left="0"/>
        <w:jc w:val="left"/>
      </w:pPr>
      <w:r>
        <w:rPr>
          <w:rFonts w:ascii="Times New Roman"/>
          <w:b/>
          <w:i w:val="false"/>
          <w:color w:val="000000"/>
        </w:rPr>
        <w:t xml:space="preserve"> Глава 4. Заключительные положения</w:t>
      </w:r>
    </w:p>
    <w:bookmarkEnd w:id="163"/>
    <w:bookmarkStart w:name="z287" w:id="164"/>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составляет не чаще одного раза в год.</w:t>
      </w:r>
    </w:p>
    <w:bookmarkEnd w:id="164"/>
    <w:bookmarkStart w:name="z288" w:id="165"/>
    <w:p>
      <w:pPr>
        <w:spacing w:after="0"/>
        <w:ind w:left="0"/>
        <w:jc w:val="both"/>
      </w:pPr>
      <w:r>
        <w:rPr>
          <w:rFonts w:ascii="Times New Roman"/>
          <w:b w:val="false"/>
          <w:i w:val="false"/>
          <w:color w:val="000000"/>
          <w:sz w:val="28"/>
        </w:rPr>
        <w:t xml:space="preserve">
      14.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165"/>
    <w:bookmarkStart w:name="z289" w:id="166"/>
    <w:p>
      <w:pPr>
        <w:spacing w:after="0"/>
        <w:ind w:left="0"/>
        <w:jc w:val="both"/>
      </w:pPr>
      <w:r>
        <w:rPr>
          <w:rFonts w:ascii="Times New Roman"/>
          <w:b w:val="false"/>
          <w:i w:val="false"/>
          <w:color w:val="000000"/>
          <w:sz w:val="28"/>
        </w:rPr>
        <w:t>
      15. Списки профилактического контроля с посещением субъекта (объекта) контроля составляются с учетом приоритетности проверяемых субъектов (объектов) с наибольшим показателем степени риска по субъективным критериям.</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связи</w:t>
            </w:r>
          </w:p>
        </w:tc>
      </w:tr>
    </w:tbl>
    <w:bookmarkStart w:name="z291" w:id="167"/>
    <w:p>
      <w:pPr>
        <w:spacing w:after="0"/>
        <w:ind w:left="0"/>
        <w:jc w:val="left"/>
      </w:pPr>
      <w:r>
        <w:rPr>
          <w:rFonts w:ascii="Times New Roman"/>
          <w:b/>
          <w:i w:val="false"/>
          <w:color w:val="000000"/>
        </w:rPr>
        <w:t xml:space="preserve"> Субъективные критерии по информационному источнику "результаты предыдущих проверок и профилактического контроля с посещением субъектов (объектов) контроля"</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695"/>
        <w:gridCol w:w="16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8"/>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предоставление услуг в области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0"/>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использование радиочастотного спектра Республики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1"/>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по оказанию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2"/>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эксплуатации радиоэлектронных средств и (или) высокочастотных устройств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3"/>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 технических средств связи, используемых на единой сети телекоммуникаций Республики Казахстан, радиоэлектронных средств и высокочастотных устройств, являющихся источником электромагнитного излучения, технических средств почтовой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4"/>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предписания об устранении нарушения в области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5"/>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выписки из реестра государственной системы обеспечения единства измерений Республики Казахстан, копии действующих сертификатов поверки для подтверждения наличия системы учета трафика, которая должна иметь систему измерения длительности соединений и систему измерения передачи данных оператора связи, внесенную в реестр государственной системы обеспечения единства измерений Республики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6"/>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использованию оператором связи, провайдером услуги, владельцем ведомственной сети телекоммуникаций, сети телекоммуникаций специального назначения, корпоративной сети выделенного ресурса нумерации более чем на 50 процентов в течение двух лет с момента выделения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7"/>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использованию получателем ресурса нумерации (коды "DEF" и индексы "X1", "X1X2" в коде "DEF" не географически определяемых зон нумерации, коды операторов (Х1Х2Х3/(X1X2X3X4), предоставляющих услуги связи с использованием кодов доступа к услуге; номера доступа "1UV (X1(X2))" к экстренным оперативным, информационно-справочным и заказным службам; префиксы выбора операторов междугородной и (или) международной связи более чем 6 месяцев в течение двух лет с момента выделения (по результатам проверки, осуществляемой уполномоченным органом)</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8"/>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содержанию наземных сегментов и коммутационных узлов, центр управления которыми расположен на территории Республики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9"/>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резервированию транспортных сетей путем предоставления независимых обходных путей, организуемых по независимым географическим трассам, или замены на тракты (каналы), организуемые в тех же линиях передачи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0"/>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транспортных сетей телекоммуникаций (магистральных и внутризоновых линий связи) на момент присвоения ему статуса оператора междугородной и (или) международной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8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1"/>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системы тактовой сетевой синхронизации на момент присвоения ему статуса оператора междугородной и (или) международной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8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2"/>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коммутационных междугородных и международных станций на момент присвоения ему статуса оператора междугородной и (или) международной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3"/>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транспортных сетях телекоммуникаций оператора междугородной и (или) международной связи сетевых узлов, которые имеют не менее трех выходов (трех направлений) передачи (два в направлении своей сети и один в направлении сети другой страны) для организации международных соединений со сетью телекоммуникаций общего пользования других стран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4"/>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не менее одной точки стыковки транспортной сети с сетями телекоммуникаций операторов связи зарубежных стран по наземным линиям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85"/>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самостоятельном создании (развитии) оператором междугородной и (или) международной связи сетей, обеспечивающих универсальные услуги телекоммуникаций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8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86"/>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выполнения мероприятия по мобилизационной готовности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87"/>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охвате сетями телекоммуникаций оператора междугородной и (или) международной связи территории не менее шести областей (географических зон нумерации), городов Астаны и Алматы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8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88"/>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наличии списка квалифицированного состава технических руководителей и специалистов, имеющих соответствующее образование и опыт практической работы по специальности не менее трех лет, копии дипломов, приказов о принятии на работу, копии трудовых книжек или трудовых договоров, свидетельства или сертификаты о прохождении курсов по подготовке и повышению квалификации в области связи для подтверждения квалифицированного состава технических руководителей и специалистов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8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9"/>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копии учредительных документов заявителя и реестра держателей ценных бумаг (участников товарищества) для подтверждения информации по распределению пакетов акций (долей участия в уставном капитале) между акционерами (участниками)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90"/>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технических характеристик и условий эксплуатации радиоэлектронных средств и высокочастотных устройств требованиям, изложенных в разрешении на использование радиочастотного спектра Республики Казахстан и уведомлении о начале или прекращении эксплуатации радиоэлектронных средств и (или) высокочастотных устройств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9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91"/>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ведению реестра идентификационных кодов абонентских устройств, работающих в их сети (для сотовых операторов)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92"/>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недопустимости передачи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93"/>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операторами связи предоставления абонентам бесплатных соединений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94"/>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уведомлении оператором связи абонента до начала тарифицируемого соединения о стоимости данного соединения при оказании интеллектуальных услуг (лотерея, голосование, телевикторина, викторина, справочно-информационные службы, службы знакомств)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5"/>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созданию системы информационно-справочного обслуживания в целях предоставления абонентам информации, связанной с оказанием услуг сотовой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96"/>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осуществлению автоматического учета информации о полученных абонентом услугах сотовой связи в сети оператора связи, времени пользования ими, соединениях с номерами телефонов абонентов других сетей аналогичного стандарта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9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97"/>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технической возможности свободного выбора абонентом оператора междугородной и (или) международной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9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8"/>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установлению лимита по пересылке абонентам в ночное время (с 22:00 часов до 06:00) информации (рассылок рекламного характера) посредством коротких текстовых сообщений и/или мультимедийных сообщений, не запрошенной ранее абонентом (для сотовых операторов)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9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9"/>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навязывания оператором связи абоненту иных платных услуг при оказании ему услуг телефонной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0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00"/>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принятию в течение трех календарных дней со дня подачи абонентом заявления об ухудшении услуг телефонной связи необходимых мер по восстановлению качества и произведению перерасчета абонентской платы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0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01"/>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произведению перерасчета абонентской платы за период фактического бездействия абонентского устройства не по вине абонента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02"/>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абонента об авариях на телефонных сетях и о предполагаемых сроках устранения этих аварий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0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03"/>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извещению абонента за 30 календарных дней о замене абонентского номера и (или) об отключении терминала с указанием причин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04"/>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изменении условий тарифа на услуги связи с согласия абонента, известив его об этом не позднее, чем за 30 календарных дней до введения их в действие</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0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05"/>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возобновлению доступа к услугам связи, отключенным за несвоевременную оплату, в течение двадцати четырех часов с момента погашения задолженности (с момента получения подтверждения оплаты от абонента или представления абонентом документов, подтверждающих ликвидацию задолженности по оплате услуг связи для операторов сотовой связи и услуг доступа к Интернету)</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06"/>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ограничения оператором связи прав абонента/пользователя при оказании ему услуг связи в случае неисполнения им условий получения иной услуги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7"/>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07"/>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приостановлению либо возобновлению по идентификационному коду работу абонентского устройства в своей сети по заявлению собственника абонентского устройства (для сотовых операторов)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8"/>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08"/>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абонентов о профилактическом обслуживании оборудования связи, связанном с его частичным или полным отключением, и о сроках проведения таких работ за десять календарных дней до начала данных работ (для сотовых операторов)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09"/>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возможности проверки баланса денег на текущем счете в круглосуточном режиме</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10"/>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возвращению абоненту излишне уплаченных денежных средств за оказанные услуги связи или засчитывает их при согласии абонента в качестве авансирования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11"/>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отказа оператора связи от заключения договора об оказании услуг связи при наличии технической возможности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12"/>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бесплатной замене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с предварительным уведомлением пользователей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1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13"/>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кредитного способа оплаты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14"/>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авансового способа оплаты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1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15"/>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отказа доминирующего оператора связи от заключения договора присоединения либо установление доминирующим оператором связи заведомо ограничительных условий на присоединение или прокладку линий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6"/>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16"/>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присоединения сетей телекоммуникаций к сети телекоммуникаций общего пользования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7"/>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17"/>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операторами связи уровней присоединения сетей телекоммуникаций, включая пропуск трафика и порядок взаиморасчетов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8"/>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18"/>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электронного журнала учета пользователей, содержащий фамилию, имя и отчество (при его наличии) пользователя, время начала и окончания работы в Интернете, номер компьютера владельца на котором работал пользователь (в случаях отсутствия в населенных пунктах сотовой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19"/>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предоставлении оператором связи доступа к информации, запрещенной вступившим в законную силу решением суда или законами Республики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2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20"/>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запрете подмены сетевых адресов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21"/>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21"/>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оператором связи и (или) владельцем сети связи услуг связи, а равно распространения представителем оператора связи абонентских номеров без заключения соответствующего договора об оказании услуг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2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22"/>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23"/>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223"/>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оператором почты по размещению почтовых ящиков и осуществление выемки почтовых отправлений из них</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2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224"/>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почтовых ящиков логотипа оператора почты, присвоенного номера, частота и время выемки корреспонденции (начало первой и последней выемки)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25"/>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225"/>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почтовых ящиках в сельской местности логотипа оператора почты, присвоенный номер, время выемки, а также дни, когда выемка не осуществляется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26"/>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226"/>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у входа в производственные объекты оператора почты вывески с указанием наименования производственного объекта и режима работы, в том числе размещенного объявления в производственных объектах, расположенных в городах и работающих по скользящему графику, с обеденным перерывом или с выходным днем о местонахождении и режиме работы ближайшего производственного объекта, предоставляющего услуги по другому графику или без выходных дней с текстом вывески и объявления на казахском и русском языках.</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27"/>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227"/>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видном и доступном для пользователей услуг оператора почты информационного материала в операционном зале производственного объекта оператора почты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28"/>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228"/>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производственных объектов оператора почты собственными именными устройствами</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29"/>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29"/>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обязанности по обеспечению переноса абонентских номеров в сетях сотовой связи и их сроков</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30"/>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30"/>
        </w:tc>
        <w:tc>
          <w:tcPr>
            <w:tcW w:w="1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 без их вскрытия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связи</w:t>
            </w:r>
          </w:p>
        </w:tc>
      </w:tr>
    </w:tbl>
    <w:bookmarkStart w:name="z545" w:id="231"/>
    <w:p>
      <w:pPr>
        <w:spacing w:after="0"/>
        <w:ind w:left="0"/>
        <w:jc w:val="left"/>
      </w:pPr>
      <w:r>
        <w:rPr>
          <w:rFonts w:ascii="Times New Roman"/>
          <w:b/>
          <w:i w:val="false"/>
          <w:color w:val="000000"/>
        </w:rPr>
        <w:t xml:space="preserve"> Субъективные критерии по информационному источнику "наличие и количество подтвержденных жалоб и обращений на проверяемые субъекты, поступивших от физических или юридических лиц, государственных органов"</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7591"/>
        <w:gridCol w:w="1700"/>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области связи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области связи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связи</w:t>
            </w:r>
          </w:p>
        </w:tc>
      </w:tr>
    </w:tbl>
    <w:bookmarkStart w:name="z559" w:id="235"/>
    <w:p>
      <w:pPr>
        <w:spacing w:after="0"/>
        <w:ind w:left="0"/>
        <w:jc w:val="left"/>
      </w:pPr>
      <w:r>
        <w:rPr>
          <w:rFonts w:ascii="Times New Roman"/>
          <w:b/>
          <w:i w:val="false"/>
          <w:color w:val="000000"/>
        </w:rPr>
        <w:t xml:space="preserve"> Субъективные критерии по информационному источнику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9756"/>
        <w:gridCol w:w="919"/>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7"/>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предоставлению пользователям услуги связи, соответствующих по качеству стандартам, техническим нормам, условиям договора на предоставление услуг связи, показателям качества услуг связи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8"/>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публичного договора об оказании услуг связи между оператором связи и абонентом</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9"/>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0"/>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неиспользование радиочастотного спектра в течение одного года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связи</w:t>
            </w:r>
          </w:p>
        </w:tc>
      </w:tr>
    </w:tbl>
    <w:bookmarkStart w:name="z581" w:id="241"/>
    <w:p>
      <w:pPr>
        <w:spacing w:after="0"/>
        <w:ind w:left="0"/>
        <w:jc w:val="left"/>
      </w:pPr>
      <w:r>
        <w:rPr>
          <w:rFonts w:ascii="Times New Roman"/>
          <w:b/>
          <w:i w:val="false"/>
          <w:color w:val="000000"/>
        </w:rPr>
        <w:t xml:space="preserve"> Субъективные критерии по информационному источнику "результаты анализа сведений, представляемых уполномоченными органами и организациями"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0750"/>
        <w:gridCol w:w="560"/>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2"/>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обеспечению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4"/>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осуществлению сбора и хранения служебной информации об абонентах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5"/>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уплату в государственный бюджет платы за использование радиочастотного спектра Республики Казахстан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6"/>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связи международных центров коммутации оператора междугородной и (или) международной связи не менее чем с двумя международными центрами коммутации других операторов междугородной и (или) международной связи, а все автоматические междугородные телефонные станции должны быть связаны не менее чем с двумя международными центрами коммутации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7"/>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сети телекоммуникаций оператора междугородной и (или) международной связи систем обеспечения функционирования – системы управления и системы технической эксплуатации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57" w:id="248"/>
    <w:p>
      <w:pPr>
        <w:spacing w:after="0"/>
        <w:ind w:left="0"/>
        <w:jc w:val="left"/>
      </w:pPr>
      <w:r>
        <w:rPr>
          <w:rFonts w:ascii="Times New Roman"/>
          <w:b/>
          <w:i w:val="false"/>
          <w:color w:val="000000"/>
        </w:rPr>
        <w:t xml:space="preserve"> Проверочный лист в сфере информатизации</w:t>
      </w:r>
    </w:p>
    <w:bookmarkEnd w:id="248"/>
    <w:p>
      <w:pPr>
        <w:spacing w:after="0"/>
        <w:ind w:left="0"/>
        <w:jc w:val="both"/>
      </w:pPr>
      <w:r>
        <w:rPr>
          <w:rFonts w:ascii="Times New Roman"/>
          <w:b w:val="false"/>
          <w:i w:val="false"/>
          <w:color w:val="ff0000"/>
          <w:sz w:val="28"/>
        </w:rPr>
        <w:t xml:space="preserve">
      Сноска. Проверочный лист в редакции совместного приказа Министра информации и коммуникаций РК от 31.10.2018 </w:t>
      </w:r>
      <w:r>
        <w:rPr>
          <w:rFonts w:ascii="Times New Roman"/>
          <w:b w:val="false"/>
          <w:i w:val="false"/>
          <w:color w:val="ff0000"/>
          <w:sz w:val="28"/>
        </w:rPr>
        <w:t>№ 456</w:t>
      </w:r>
      <w:r>
        <w:rPr>
          <w:rFonts w:ascii="Times New Roman"/>
          <w:b w:val="false"/>
          <w:i w:val="false"/>
          <w:color w:val="ff0000"/>
          <w:sz w:val="28"/>
        </w:rPr>
        <w:t xml:space="preserve"> и Министра национальной экономики РК от 31.10.2018 № 40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сфере/в области/за_____________________________________________________________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w:t>
      </w:r>
      <w:r>
        <w:br/>
      </w:r>
      <w:r>
        <w:rPr>
          <w:rFonts w:ascii="Times New Roman"/>
          <w:b w:val="false"/>
          <w:i w:val="false"/>
          <w:color w:val="000000"/>
          <w:sz w:val="28"/>
        </w:rPr>
        <w:t>_______________________________________________________________________ контроля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w:t>
      </w:r>
      <w:r>
        <w:br/>
      </w:r>
      <w:r>
        <w:rPr>
          <w:rFonts w:ascii="Times New Roman"/>
          <w:b w:val="false"/>
          <w:i w:val="false"/>
          <w:color w:val="000000"/>
          <w:sz w:val="28"/>
        </w:rPr>
        <w:t>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8730"/>
        <w:gridCol w:w="336"/>
        <w:gridCol w:w="546"/>
        <w:gridCol w:w="546"/>
        <w:gridCol w:w="758"/>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об объектах информатизации государственного органа (регистрация информационных систем государственного органа, размещение копий технической документации объектов информатизации государственного органа, также актуализация информации об объектах информатизации государственного органа на архитектурном портале "электронного правительства")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акта приема приема-передачи сервисному интегратору "электронного правительства" разработанного программного обеспечения, исходных кодов (при наличии) и комплекса настроек лицензионного обеспечения информационных систем государственных органов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предписания об устранении нарушения в сфере информатизации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оригиналов технической документации на бумажных носителях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сохранности, защиты, восстановлению электронных информационных ресурсов в случае сбоя или повреждения информационных систем государственного органа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резервному копированию и осуществлению контроля за своевременной актуализацией электронных информационных ресурсов в случае сбоя или повреждения информационных систем государственного органа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автоматизированного учета, сохранности и периодического архивирования сведений об обращениях к информационной системе государственного органа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акта о приемке в промышленную эксплуатацию информационной системы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экспертизы технической документации.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собственником и владельцем информационных систем требований, по защите персональных данных содержащихся в информационных системах, получивших электронные информационные ресурсы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 допущению использования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граждан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требования субъекта и (или) оператора, а также третьего лица блокирования своих персональных данных в случае нарушения условий сбора, обработки персональных данных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субъекта требований от собственника и (или) оператора, а также третьего лица уничтожения своих персональных данных, сбор и обработка которых произведены не законно</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обязательств предоставления доказательств о получении согласия субъекта на сбор и обработку его персональных данных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(ые) лицо (а) ____________________________________________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606" w:id="249"/>
    <w:p>
      <w:pPr>
        <w:spacing w:after="0"/>
        <w:ind w:left="0"/>
        <w:jc w:val="left"/>
      </w:pPr>
      <w:r>
        <w:rPr>
          <w:rFonts w:ascii="Times New Roman"/>
          <w:b/>
          <w:i w:val="false"/>
          <w:color w:val="000000"/>
        </w:rPr>
        <w:t xml:space="preserve"> Проверочный лист в области связи</w:t>
      </w:r>
    </w:p>
    <w:bookmarkEnd w:id="249"/>
    <w:p>
      <w:pPr>
        <w:spacing w:after="0"/>
        <w:ind w:left="0"/>
        <w:jc w:val="both"/>
      </w:pPr>
      <w:r>
        <w:rPr>
          <w:rFonts w:ascii="Times New Roman"/>
          <w:b w:val="false"/>
          <w:i w:val="false"/>
          <w:color w:val="ff0000"/>
          <w:sz w:val="28"/>
        </w:rPr>
        <w:t xml:space="preserve">
      Сноска. Проверочный лист в редакции совместного приказа Министра информации и коммуникаций РК от 31.10.2018 </w:t>
      </w:r>
      <w:r>
        <w:rPr>
          <w:rFonts w:ascii="Times New Roman"/>
          <w:b w:val="false"/>
          <w:i w:val="false"/>
          <w:color w:val="ff0000"/>
          <w:sz w:val="28"/>
        </w:rPr>
        <w:t>№ 456</w:t>
      </w:r>
      <w:r>
        <w:rPr>
          <w:rFonts w:ascii="Times New Roman"/>
          <w:b w:val="false"/>
          <w:i w:val="false"/>
          <w:color w:val="ff0000"/>
          <w:sz w:val="28"/>
        </w:rPr>
        <w:t xml:space="preserve"> и Министра национальной экономики РК от 31.10.2018 № 40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сфере/в области/за______________________________________________________________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w:t>
      </w:r>
      <w:r>
        <w:br/>
      </w:r>
      <w:r>
        <w:rPr>
          <w:rFonts w:ascii="Times New Roman"/>
          <w:b w:val="false"/>
          <w:i w:val="false"/>
          <w:color w:val="000000"/>
          <w:sz w:val="28"/>
        </w:rPr>
        <w:t>_______________________________________________________________________ контроля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895"/>
        <w:gridCol w:w="241"/>
        <w:gridCol w:w="241"/>
        <w:gridCol w:w="241"/>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осуществлению сбора и хранения служебной информации об абонентах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 технических средств связи, используемых на единой сети телекоммуникаций Республики Казахстан, радиоэлектронных средств и высокочастотных устройств, являющихся источником электромагнитного излучения, технических средств почтовой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предписания об устранении нарушения в области связи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выполнения мероприятия по мобилизационной готовности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предоставление услуг в области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использование радиочастотного спектра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по оказанию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эксплуатации радиоэлектронных средств и (или) высокочастотных устройств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обеспечению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выписки из реестра государственной системы обеспечения единства измерений Республики Казахстан, копии действующих сертификатов поверки для подтверждения наличия системы учета трафика, которая должна иметь систему измерения длительности соединений и систему измерения передачи данных оператора связи, внесенную в реестр государственной системы обеспечения единства измерений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использованию оператором связи, провайдером услуги, владельцем ведомственной сети телекоммуникаций, сети телекоммуникаций специального назначения, корпоративной сети выделенного ресурса нумерации более чем на 50 процентов в течение двух лет с момента выделения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использованию получателем ресурса нумерации (коды "DEF" и индексы "X1", "X1X2" в коде "DEF" не географически определяемых зон нумерации, коды операторов (Х1Х2Х3/(X1X2X3X4), предоставляющих услуги связи с использованием кодов доступа к услуге; номера доступа "1UV (X1(X2))" к экстренным оперативным, информационно-справочным и заказным службам; префиксы выбора операторов междугородной и (или) международной связи более чем 6 месяцев в течение двух лет с момента выделения (по результатам проверки, осуществляемой уполномоченным органом)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содержанию наземных сегментов и коммутационных узлов, центр управления которыми расположен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резервированию транспортных сетей путем предоставления независимых обходных путей, организуемых по независимым географическим трассам, или замены на тракты (каналы), организуемые в тех же линиях передачи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транспортных сетей телекоммуникаций (магистральных и внутризоновых линий связи) на момент присвоения ему статуса оператора междугородной и (или) международной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транспортных сетях телекоммуникаций оператора междугородной и (или) международной связи сетевых узлов, которые имеют не менее трех выходов (трех направлений) передачи (два в направлении своей сети и один в направлении сети другой страны) для организации международных соединений со сетью телекоммуникаций общего пользования других стран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не менее одной точки стыковки транспортной сети с сетями телекоммуникаций операторов связи зарубежных стран по наземным линиям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самостоятельном создании (развитии) оператором междугородной и (или) международной связи сетей, обеспечивающих универсальные услуги телекоммуникаций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сети телекоммуникаций оператора междугородной и (или) международной связи системы тактовой сетевой синхронизации на момент присвоения ему статуса оператора междугородной и (или) международной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в составе сети телекоммуникаций оператора междугородной и (или) международной связи коммутационных междугородных и международных станций на момент присвоения ему статуса оператора междугородной и (или) международной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сети телекоммуникаций оператора междугородной и (или) международной связи систем обеспечения функционирования – системы управления и системы технической эксплуатации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охвате сетями телекоммуникаций оператора междугородной и (или) международной связи территории не менее шести областей (географических зон нумерации), городов Астаны и Алматы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связи международных центров коммутации оператора междугородной и (или) международной связи не менее чем с двумя международными центрами коммутации других операторов междугородной и (или) международной связи, а все автоматические междугородные телефонные станции должны быть связаны не менее чем с двумя международными центрами коммутации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списка квалифицированного состава технических руководителей и специалистов, имеющих соответствующее образование и опыт практической работы по специальности не менее трех лет, копии дипломов, приказов о принятии на работу, копии трудовых книжек или трудовых договоров, свидетельства или сертификаты о прохождении курсов по подготовке и повышению квалификации в области связи для подтверждения квалифицированного состава технических руководителей и специалистов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копии учредительных документов заявителя и реестра держателей ценных бумаг (участников товарищества) для подтверждения информации по распределению пакетов акций (долей участия в уставном капитале) между акционерами (участниками)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технических характеристик и условий эксплуатации радиоэлектронных средств и высокочастотных устройств требованиям, изложенных в разрешении на использование радиочастотного спектра Республики Казахстан и уведомлении о начале или прекращении эксплуатации радиоэлектронных средств и (или) высокочастотных устройств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обязанностей по предоставлению пользователям услуги связи, соответствующих по качеству стандартам, техническим нормам, условиям договора на предоставление услуг связи, показателям качества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операторами связи предоставления абонентам бесплатных соединений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уведомлении оператором связи абонента до начала тарифицируемого соединения о стоимости данного соединения при оказании интеллектуальных услуг (лотерея, голосование, телевикторина, викторина, справочно-информационные службы, службы знакомств)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созданию системы информационно-справочного обслуживания в целях предоставления абонентам информации, связанной с оказанием услуг сотовой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автоматического учета информации о полученных абонентом услугах сотовой связи в сети оператора связи, времени пользования ими, соединениях с номерами телефонов абонентов других сетей аналогичного стандарта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технической возможности свободного выбора абонентом оператора междугородной и (или) международной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установлению лимита по пересылке абонентам в ночное время (с 22:00 часов до 06:00) информации (рассылок рекламного характера) посредством коротких текстовых сообщений и/или мультимедийных сообщений, не запрошенной ранее абонентом (для сотовых операторов)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навязывания оператором связи абоненту иных платных услуг при оказании ему услуг телефонной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принятию в течение трех календарных дней со дня подачи абонентом заявления об ухудшении качества услуг телефонной связи необходимых мер по восстановлению качества и произведению перерасчета абонентской платы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произведению перерасчета абонентской платы за период фактического бездействия абонентского устройства не по вине абонента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абонента об авариях на телефонных сетях и о предполагаемых сроках устранения этих аварий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извещению абонента за 30 календарных дней о замене абонентского номера и (или) об отключении терминала с указанием причин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изменении условий тарифа на услуги связи с согласия абонента, известив его об этом не позднее, чем за 30 календарных дней до введения их в действие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возобновлению доступа к услугам связи, отключенным за несвоевременную оплату, в течение двадцати четырех часов с момента погашения задолженности (с момента получения подтверждения оплаты от абонента или представления абонентом документов, подтверждающих ликвидацию задолженности по оплате услуг связи для операторов сотовой связи и услуг доступа к Интернету)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ограничения оператором связи прав абонента/пользователя при оказании ему услуг связи в случае неисполнения им условий получения иной услуги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публичного договора об оказании услуг связи между оператором связи и абонентом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ведению реестра идентификационных кодов абонентских устройств, работающих в их сети (для сотовых операторов)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приостановлению либо возобновлению по идентификационному коду работу абонентского устройства в своей сети по заявлению собственника абонентского устройства (для сотовых операторов)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абонентов о профилактическом обслуживании оборудования связи, связанном с его частичным или полным отключением, и о сроках проведения таких работ за десять календарных дней до начала данных работ (для сотовых операторов)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возможности проверки баланса денег на текущем счете в круглосуточном режиме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возвращению абоненту излишне уплаченных денежных средств за оказанные услуги связи или засчитывает их при согласии абонента в качестве авансирования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отказа оператора связи от заключения договора об оказании услуг связи при наличии технической возможности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бесплатной замене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с предварительным уведомлением пользователей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кредитного способа оплаты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авансового способа оплаты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недопущению отказа доминирующего оператора связи от заключения договора присоединения либо установление доминирующим оператором связи заведомо ограничительных условий на присоединение или прокладку линий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присоединения сетей телекоммуникаций к сети телекоммуникаций общего пользования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операторами связи уровней присоединения сетей телекоммуникаций, включая пропуск трафика и порядок взаиморасчетов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электронного журнала учета пользователей, содержащий фамилию, имя и отчество (при его наличии) пользователя, время начала и окончания работы в Интернете, номер компьютера владельца на котором работал пользователь (в случаях отсутствия в населенных пунктах сотовой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предоставлении оператором связи доступа к информации, запрещенной вступившим в законную силу решением суда или законами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запрете подмены сетевых адресов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оператором связи и (или) владельцем сети связи услуг связи, а равно распространения представителем оператора связи абонентских номеров без заключения соответствующего договора об оказании услуг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неиспользование радиочастотного спектра в течение одного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оператором сотовой связи обязанности по обеспечению переноса абонентских номеров в сетях сотовой связи и их сроков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уплату в государственный бюджет платы за использование радиочастотного спектра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 допустимости передачи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оператором почты по размещению почтовых ящиков и осуществление выемки почтовых отправлений из них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почтовых ящиках логотипа оператора почты, присвоенного номера, частота и время выемки корреспонденции (начало первой и последней выемки)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почтовых ящиках в сельской местности логотипа оператора почты, присвоенный номер, время выемки, а также дни, когда выемка не осуществляется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у входа в производственные объекты оператора почты вывески с указанием наименования производственного объекта и режима работы, в том числе размещенного объявления в производственных объектах, расположенных в городах и работающих по скользящему графику, с обеденным перерывом или с выходным днем о местонахождении и режиме работы ближайшего производственного объекта, предоставляющего услуги по другому графику или без выходных дней с текстом вывески и объявления на казахском и русском языках.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 видном и доступном для пользователей услуг оператора почты информационного материала в операционном зале производственного объекта оператора почты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производственных объектов оператора почты собственными именными устройствами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операторами почты требований по использованию на почтовых сетях технических средств и оборудований, позволяющих выявить запрещенные предметы и вещества в почтовых отправлениях без их вскрытия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(ые) лицо (а) _______________________________________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________________________________________ 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31 декабря 2015 года № 1275</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841</w:t>
            </w:r>
          </w:p>
        </w:tc>
      </w:tr>
    </w:tbl>
    <w:bookmarkStart w:name="z607" w:id="250"/>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 xml:space="preserve"> Республики Казахстан об электронном документе и электронной цифровой подписи</w:t>
      </w:r>
    </w:p>
    <w:bookmarkEnd w:id="250"/>
    <w:p>
      <w:pPr>
        <w:spacing w:after="0"/>
        <w:ind w:left="0"/>
        <w:jc w:val="both"/>
      </w:pPr>
      <w:r>
        <w:rPr>
          <w:rFonts w:ascii="Times New Roman"/>
          <w:b w:val="false"/>
          <w:i w:val="false"/>
          <w:color w:val="ff0000"/>
          <w:sz w:val="28"/>
        </w:rPr>
        <w:t xml:space="preserve">
      Сноска. Проверочный лист в редакции совместного приказа Министра информации и коммуникаций РК от 31.10.2018 </w:t>
      </w:r>
      <w:r>
        <w:rPr>
          <w:rFonts w:ascii="Times New Roman"/>
          <w:b w:val="false"/>
          <w:i w:val="false"/>
          <w:color w:val="ff0000"/>
          <w:sz w:val="28"/>
        </w:rPr>
        <w:t>№ 456</w:t>
      </w:r>
      <w:r>
        <w:rPr>
          <w:rFonts w:ascii="Times New Roman"/>
          <w:b w:val="false"/>
          <w:i w:val="false"/>
          <w:color w:val="ff0000"/>
          <w:sz w:val="28"/>
        </w:rPr>
        <w:t xml:space="preserve"> и Министра национальной экономики РК от 31.10.2018 № 40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сфере/в области/за______________________________________________________________</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в отношении 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w:t>
      </w:r>
      <w:r>
        <w:br/>
      </w:r>
      <w:r>
        <w:rPr>
          <w:rFonts w:ascii="Times New Roman"/>
          <w:b w:val="false"/>
          <w:i w:val="false"/>
          <w:color w:val="000000"/>
          <w:sz w:val="28"/>
        </w:rPr>
        <w:t>_______________________________________________________________________ контроля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r>
        <w:br/>
      </w: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7177"/>
        <w:gridCol w:w="970"/>
        <w:gridCol w:w="971"/>
        <w:gridCol w:w="971"/>
        <w:gridCol w:w="971"/>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отказов в принятии электронных документов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удостоверяющим центром необходимых мер для предотвращения утери, находящихся на хранении открытых ключей электронной цифровой подписи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удостоверяющим центром необходимых мер для предотвращения модификации, находящихся на хранении открытых ключей электронной цифровой подписи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удостоверяющим центром необходимых мер для предотвращения подделки, находящихся на хранении открытых ключей электронной цифровой подписи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удостоверяющим центром защиты сведений о владельцах регистрационных свидетельств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запрете по передаче закрытого ключа электронной цифровой подписи другим лицам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(ые) лицо (а) _____________________________________________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 _________________________________________ 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