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b02" w14:textId="5901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ставок плат за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ноября 2015 года № 18-03/1010. Зарегистрирован в Министерстве юстиции Республики Казахстан 26 января 2016 года № 12924.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ставок плат за пользование животным миром.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 № 18-03/1010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ставок плат за пользование животным миром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ставок плат за пользование животным миром (далее - Методика) разработана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применяется для определения ставок плат за пользование животным миром.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ставок плат за пользование животным миром производится на основе: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нормативного лимита добычи – нормативов изъятия видов животных, являющихся объектами охоты, утверждаемый уполномоченным органом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коэффициентов прироста животных и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животных (животные его части и дериваты, изъятые из среды обитания).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Плата не взимается: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изъятии из природной среды животных для целей мечения, кольцевания, переселения, акклиматизации, </w:t>
      </w:r>
      <w:r>
        <w:rPr>
          <w:rFonts w:ascii="Times New Roman"/>
          <w:b w:val="false"/>
          <w:i w:val="false"/>
          <w:color w:val="000000"/>
          <w:sz w:val="28"/>
        </w:rPr>
        <w:t>искусственного разведения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скрещивания в научно-исследовательских и хозяйственных целях с последующим их выпуском в природную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объектов животного мира, являющихся собственностью физических и юридических лиц, разведенных искусственным путем и содержащихся в неволе и (или) полувольных условиях;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экологии и природных ресурсов РК от 11.09.2025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изъятии </w:t>
      </w:r>
      <w:r>
        <w:rPr>
          <w:rFonts w:ascii="Times New Roman"/>
          <w:b w:val="false"/>
          <w:i w:val="false"/>
          <w:color w:val="000000"/>
          <w:sz w:val="28"/>
        </w:rPr>
        <w:t>видов животных</w:t>
      </w:r>
      <w:r>
        <w:rPr>
          <w:rFonts w:ascii="Times New Roman"/>
          <w:b w:val="false"/>
          <w:i w:val="false"/>
          <w:color w:val="000000"/>
          <w:sz w:val="28"/>
        </w:rPr>
        <w:t>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экологии и природных ресурсов РК от 11.09.2025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ставок плат за пользование животным миром</w:t>
      </w:r>
      <w:r>
        <w:br/>
      </w:r>
      <w:r>
        <w:rPr>
          <w:rFonts w:ascii="Times New Roman"/>
          <w:b/>
          <w:i w:val="false"/>
          <w:color w:val="000000"/>
        </w:rPr>
        <w:t>(копытные животные)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платы за пользование объектами охоты (копытные животные) определяется по ниже представленной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кж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(копытные животные);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нормативный лимит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прироста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животных.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ставок плат за пользование объектами охоты</w:t>
      </w:r>
      <w:r>
        <w:br/>
      </w:r>
      <w:r>
        <w:rPr>
          <w:rFonts w:ascii="Times New Roman"/>
          <w:b/>
          <w:i w:val="false"/>
          <w:color w:val="000000"/>
        </w:rPr>
        <w:t>(хищные и пушные животные)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Ставка платы за пользование объектами охоты (хищные и пушные животные) определяется по ниже представленной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хпж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хпж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(хищные и пушные животные);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нормативный лимит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прироста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животных.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ставок плат за пользование объектами охоты</w:t>
      </w:r>
      <w:r>
        <w:br/>
      </w:r>
      <w:r>
        <w:rPr>
          <w:rFonts w:ascii="Times New Roman"/>
          <w:b/>
          <w:i w:val="false"/>
          <w:color w:val="000000"/>
        </w:rPr>
        <w:t>(птицы)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Ставка платы за пользование объектами охоты (птицы) определяется по ниже представленной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(птицы);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нормативный лимит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прироста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животных.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ставок плат за пользование видами животных,</w:t>
      </w:r>
      <w:r>
        <w:br/>
      </w:r>
      <w:r>
        <w:rPr>
          <w:rFonts w:ascii="Times New Roman"/>
          <w:b/>
          <w:i w:val="false"/>
          <w:color w:val="000000"/>
        </w:rPr>
        <w:t>используемых в иных хозяйственных целях (кроме охоты и</w:t>
      </w:r>
      <w:r>
        <w:br/>
      </w:r>
      <w:r>
        <w:rPr>
          <w:rFonts w:ascii="Times New Roman"/>
          <w:b/>
          <w:i w:val="false"/>
          <w:color w:val="000000"/>
        </w:rPr>
        <w:t>рыболовства)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Ставка платы за пользование </w:t>
      </w:r>
      <w:r>
        <w:rPr>
          <w:rFonts w:ascii="Times New Roman"/>
          <w:b w:val="false"/>
          <w:i w:val="false"/>
          <w:color w:val="000000"/>
          <w:sz w:val="28"/>
        </w:rPr>
        <w:t>видами животных</w:t>
      </w:r>
      <w:r>
        <w:rPr>
          <w:rFonts w:ascii="Times New Roman"/>
          <w:b w:val="false"/>
          <w:i w:val="false"/>
          <w:color w:val="000000"/>
          <w:sz w:val="28"/>
        </w:rPr>
        <w:t>, используемых в иных хозяйственных целях (кроме охоты и рыболовства) определяется по ниже представленной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хц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хц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(используемых в иных хозяйственных целях);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прироста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животных.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