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2651" w14:textId="8ae2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проверочного листа в сфере управления жилищным фондом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23 декабря 2015 года № 787. Зарегистрирован в Министерстве юстиции Республики Казахстан 31 декабря 2015 года № 12697. Утратил силу совместным приказом Министра индустрии и инфраструктурного развития Республики Казахстан от 29 апреля 2020 года № 253 и Министра национальной экономики Республики Казахстан от 30 апреля 2020 года № 33.</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индустрии и инфраструктурного развития РК от 29.04.2020 № 253 и Министра национальной экономики РК от 30.04.2020 № 33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от 29 октября 2015 года,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критерии оценки степени риска в сфере управления жилищным фондом,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проверочный лист в сфере управления жилищным фондом,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"Об утверждении критериев оценки степени риска и формы проверочного листа в сфере управления жилищным фондом" от 23 июня 2015 года № 447 (зарегистрированный в Реестре государственной регистрации нормативных правовых актов за № 11750, опубликованный в информационно-правовой системе "Әділет" от 17 августа 2015 года). </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по правовой   </w:t>
      </w:r>
    </w:p>
    <w:p>
      <w:pPr>
        <w:spacing w:after="0"/>
        <w:ind w:left="0"/>
        <w:jc w:val="both"/>
      </w:pPr>
      <w:r>
        <w:rPr>
          <w:rFonts w:ascii="Times New Roman"/>
          <w:b w:val="false"/>
          <w:i w:val="false"/>
          <w:color w:val="000000"/>
          <w:sz w:val="28"/>
        </w:rPr>
        <w:t xml:space="preserve">
      статистике и специальным учетам   </w:t>
      </w:r>
    </w:p>
    <w:p>
      <w:pPr>
        <w:spacing w:after="0"/>
        <w:ind w:left="0"/>
        <w:jc w:val="both"/>
      </w:pPr>
      <w:r>
        <w:rPr>
          <w:rFonts w:ascii="Times New Roman"/>
          <w:b w:val="false"/>
          <w:i w:val="false"/>
          <w:color w:val="000000"/>
          <w:sz w:val="28"/>
        </w:rPr>
        <w:t xml:space="preserve">
      Генеральной прокуратуры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С. Айтпаева   </w:t>
      </w:r>
    </w:p>
    <w:p>
      <w:pPr>
        <w:spacing w:after="0"/>
        <w:ind w:left="0"/>
        <w:jc w:val="both"/>
      </w:pPr>
      <w:r>
        <w:rPr>
          <w:rFonts w:ascii="Times New Roman"/>
          <w:b w:val="false"/>
          <w:i w:val="false"/>
          <w:color w:val="000000"/>
          <w:sz w:val="28"/>
        </w:rPr>
        <w:t>
      "___" 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w:t>
            </w:r>
            <w:r>
              <w:br/>
            </w:r>
            <w:r>
              <w:rPr>
                <w:rFonts w:ascii="Times New Roman"/>
                <w:b w:val="false"/>
                <w:i w:val="false"/>
                <w:color w:val="000000"/>
                <w:sz w:val="20"/>
              </w:rPr>
              <w:t>№ 787</w:t>
            </w:r>
          </w:p>
        </w:tc>
      </w:tr>
    </w:tbl>
    <w:bookmarkStart w:name="z8" w:id="6"/>
    <w:p>
      <w:pPr>
        <w:spacing w:after="0"/>
        <w:ind w:left="0"/>
        <w:jc w:val="left"/>
      </w:pPr>
      <w:r>
        <w:rPr>
          <w:rFonts w:ascii="Times New Roman"/>
          <w:b/>
          <w:i w:val="false"/>
          <w:color w:val="000000"/>
        </w:rPr>
        <w:t xml:space="preserve"> Критерии оценки степени риска в сфере управления жилищным</w:t>
      </w:r>
      <w:r>
        <w:br/>
      </w:r>
      <w:r>
        <w:rPr>
          <w:rFonts w:ascii="Times New Roman"/>
          <w:b/>
          <w:i w:val="false"/>
          <w:color w:val="000000"/>
        </w:rPr>
        <w:t>фондом</w:t>
      </w:r>
      <w:r>
        <w:br/>
      </w:r>
      <w:r>
        <w:rPr>
          <w:rFonts w:ascii="Times New Roman"/>
          <w:b/>
          <w:i w:val="false"/>
          <w:color w:val="000000"/>
        </w:rPr>
        <w:t>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Критерии оценки степени риска в сфере управления жилищным фондом (далее – Критерии)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141 Предпринимательского кодекса Республики Казахстан от 29 октября 2015 года для отнесения проверяемых субъектов в сфере управления жилищного фонда (далее – проверяемые субъекты) к степени риска для проведения выборочных проверок.</w:t>
      </w:r>
    </w:p>
    <w:bookmarkEnd w:id="7"/>
    <w:bookmarkStart w:name="z10" w:id="8"/>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8"/>
    <w:bookmarkStart w:name="z25" w:id="9"/>
    <w:p>
      <w:pPr>
        <w:spacing w:after="0"/>
        <w:ind w:left="0"/>
        <w:jc w:val="both"/>
      </w:pPr>
      <w:r>
        <w:rPr>
          <w:rFonts w:ascii="Times New Roman"/>
          <w:b w:val="false"/>
          <w:i w:val="false"/>
          <w:color w:val="000000"/>
          <w:sz w:val="28"/>
        </w:rPr>
        <w:t xml:space="preserve">
      1)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 </w:t>
      </w:r>
    </w:p>
    <w:bookmarkEnd w:id="9"/>
    <w:bookmarkStart w:name="z26" w:id="10"/>
    <w:p>
      <w:pPr>
        <w:spacing w:after="0"/>
        <w:ind w:left="0"/>
        <w:jc w:val="both"/>
      </w:pPr>
      <w:r>
        <w:rPr>
          <w:rFonts w:ascii="Times New Roman"/>
          <w:b w:val="false"/>
          <w:i w:val="false"/>
          <w:color w:val="000000"/>
          <w:sz w:val="28"/>
        </w:rPr>
        <w:t>
      2) проверяемые субъекты – органы управления объектами кондоминиума, за деятельностью которых осуществляется государственный контроль;</w:t>
      </w:r>
    </w:p>
    <w:bookmarkEnd w:id="10"/>
    <w:bookmarkStart w:name="z27" w:id="11"/>
    <w:p>
      <w:pPr>
        <w:spacing w:after="0"/>
        <w:ind w:left="0"/>
        <w:jc w:val="both"/>
      </w:pPr>
      <w:r>
        <w:rPr>
          <w:rFonts w:ascii="Times New Roman"/>
          <w:b w:val="false"/>
          <w:i w:val="false"/>
          <w:color w:val="000000"/>
          <w:sz w:val="28"/>
        </w:rPr>
        <w:t>
      3) риск в сфере управления жилищным фондом – вероятность ухудшения технического состояния общего имущества объектов кондоминиума, преждевременного износа их элементов, ведущих к снижению прочности конструкций и безопасности работы инженерных систем объектов кондоминиума (жилых домов), возникновению аварий, в результате нарушения требований и норм эксплуатации и содержания жилищного фонда.</w:t>
      </w:r>
    </w:p>
    <w:bookmarkEnd w:id="11"/>
    <w:bookmarkStart w:name="z28" w:id="12"/>
    <w:p>
      <w:pPr>
        <w:spacing w:after="0"/>
        <w:ind w:left="0"/>
        <w:jc w:val="both"/>
      </w:pPr>
      <w:r>
        <w:rPr>
          <w:rFonts w:ascii="Times New Roman"/>
          <w:b w:val="false"/>
          <w:i w:val="false"/>
          <w:color w:val="000000"/>
          <w:sz w:val="28"/>
        </w:rPr>
        <w:t>
      4) грубое нарушение в сфере управления жилищным фондом – нарушение характеризуемое наличием двух и более подтвержденных жалоб от физических либо юридических лиц;</w:t>
      </w:r>
    </w:p>
    <w:bookmarkEnd w:id="12"/>
    <w:bookmarkStart w:name="z29" w:id="13"/>
    <w:p>
      <w:pPr>
        <w:spacing w:after="0"/>
        <w:ind w:left="0"/>
        <w:jc w:val="both"/>
      </w:pPr>
      <w:r>
        <w:rPr>
          <w:rFonts w:ascii="Times New Roman"/>
          <w:b w:val="false"/>
          <w:i w:val="false"/>
          <w:color w:val="000000"/>
          <w:sz w:val="28"/>
        </w:rPr>
        <w:t>
      5) значительные нарушения в сфере управления жилищным фондом –нарушения требований жилищного законодательства, выраженные в отсутствии регистрации объектов кондоминиума в органах юстиции, сберегательного и текущего счета на каждый объект кондоминиума в банке второго уровня, сметы расходов на содержание общего имущества объекта кондоминиума утвержденной протоколом собрания членов кооператива собственников помещений (квартир), договора с субъектом сервисной деятельности одобренного протокольным решением собрания собственников помещений (квартир), в несоблюдении органом управления объектом кондоминиума сроков представления ежеквартального отчета по управлению объектом кондоминиума, в наличии неисправности в системах центрального отопления, водоснабжения, водоотведения, электроснабжения общего имущества кондоминиума, неисполненных предписаний по устранению нарушений правил содержания общего имущества объекта кондоминиума, либо нарушение характеризуемое наличием одной подтвержденной жалобы от физических либо юридических лиц;</w:t>
      </w:r>
    </w:p>
    <w:bookmarkEnd w:id="13"/>
    <w:bookmarkStart w:name="z30" w:id="14"/>
    <w:p>
      <w:pPr>
        <w:spacing w:after="0"/>
        <w:ind w:left="0"/>
        <w:jc w:val="both"/>
      </w:pPr>
      <w:r>
        <w:rPr>
          <w:rFonts w:ascii="Times New Roman"/>
          <w:b w:val="false"/>
          <w:i w:val="false"/>
          <w:color w:val="000000"/>
          <w:sz w:val="28"/>
        </w:rPr>
        <w:t xml:space="preserve">
      6) незначительные нарушения в сфере управления жилищным фондом – нарушения требований жилищного законодательства, выраженные в отсутствии договора управления объектом кондоминиума, соответствующего типовой форме договора управления объектом кондоминиума, подтверждающих документов о проведении плановых осмотров технического состояния конструкций и инженерного оборудования объекта кондоминиума, подтверждающих документов о выполнении работ по дезинфекции, дезинсекции и дератизации подвальных помещений и других мест общего пользования объекта кондоминиума, согласованной с жилищной инспекцией сметы расходов на проведение отдельных видов капитального ремонта общего имущества объекта кондоминиума, финансируемых с участием жилищной помощи (при наличии протокольного решения собрания собственников помещений (квартир) о проведении капитального ремонта, финансируемого с участием жилищной помощи), несоблюдении сроков полномочий правления кооператива собственников помещений (квартир), определенных уставом проверяемого субъекта, несоответствии протоколов собрания собственников помещений (квартир) Типовому протоколу собрания собственников помещений (квартир)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243, зарегистрированным в Реестре государственной регистрации нормативных правовых актов за № 10573.</w:t>
      </w:r>
    </w:p>
    <w:bookmarkEnd w:id="14"/>
    <w:bookmarkStart w:name="z11" w:id="15"/>
    <w:p>
      <w:pPr>
        <w:spacing w:after="0"/>
        <w:ind w:left="0"/>
        <w:jc w:val="both"/>
      </w:pPr>
      <w:r>
        <w:rPr>
          <w:rFonts w:ascii="Times New Roman"/>
          <w:b w:val="false"/>
          <w:i w:val="false"/>
          <w:color w:val="000000"/>
          <w:sz w:val="28"/>
        </w:rPr>
        <w:t>
      3. Критерии оценки степени риска для выборочных проверок формируются посредством объективных и субъективных критериев.</w:t>
      </w:r>
    </w:p>
    <w:bookmarkEnd w:id="15"/>
    <w:bookmarkStart w:name="z12" w:id="16"/>
    <w:p>
      <w:pPr>
        <w:spacing w:after="0"/>
        <w:ind w:left="0"/>
        <w:jc w:val="left"/>
      </w:pPr>
      <w:r>
        <w:rPr>
          <w:rFonts w:ascii="Times New Roman"/>
          <w:b/>
          <w:i w:val="false"/>
          <w:color w:val="000000"/>
        </w:rPr>
        <w:t xml:space="preserve"> 2. Объективные критерии оценки степени риска</w:t>
      </w:r>
    </w:p>
    <w:bookmarkEnd w:id="16"/>
    <w:bookmarkStart w:name="z13" w:id="17"/>
    <w:p>
      <w:pPr>
        <w:spacing w:after="0"/>
        <w:ind w:left="0"/>
        <w:jc w:val="both"/>
      </w:pPr>
      <w:r>
        <w:rPr>
          <w:rFonts w:ascii="Times New Roman"/>
          <w:b w:val="false"/>
          <w:i w:val="false"/>
          <w:color w:val="000000"/>
          <w:sz w:val="28"/>
        </w:rPr>
        <w:t xml:space="preserve">
      4. По объективным критериям проверяемые субъекты распределяются по двум степеням риска – высокая и не отнесенная к высокой. </w:t>
      </w:r>
    </w:p>
    <w:bookmarkEnd w:id="17"/>
    <w:p>
      <w:pPr>
        <w:spacing w:after="0"/>
        <w:ind w:left="0"/>
        <w:jc w:val="both"/>
      </w:pPr>
      <w:r>
        <w:rPr>
          <w:rFonts w:ascii="Times New Roman"/>
          <w:b w:val="false"/>
          <w:i w:val="false"/>
          <w:color w:val="000000"/>
          <w:sz w:val="28"/>
        </w:rPr>
        <w:t>
      К высокой степени риска относятся:</w:t>
      </w:r>
    </w:p>
    <w:p>
      <w:pPr>
        <w:spacing w:after="0"/>
        <w:ind w:left="0"/>
        <w:jc w:val="both"/>
      </w:pPr>
      <w:r>
        <w:rPr>
          <w:rFonts w:ascii="Times New Roman"/>
          <w:b w:val="false"/>
          <w:i w:val="false"/>
          <w:color w:val="000000"/>
          <w:sz w:val="28"/>
        </w:rPr>
        <w:t>
      1) проверяемые субъекты управляющие двумя и более жилыми домами;</w:t>
      </w:r>
    </w:p>
    <w:p>
      <w:pPr>
        <w:spacing w:after="0"/>
        <w:ind w:left="0"/>
        <w:jc w:val="both"/>
      </w:pPr>
      <w:r>
        <w:rPr>
          <w:rFonts w:ascii="Times New Roman"/>
          <w:b w:val="false"/>
          <w:i w:val="false"/>
          <w:color w:val="000000"/>
          <w:sz w:val="28"/>
        </w:rPr>
        <w:t>
      2) проверяемые субъекты управляющие жилыми домами эксплуатируемыми более 20 лет.</w:t>
      </w:r>
    </w:p>
    <w:p>
      <w:pPr>
        <w:spacing w:after="0"/>
        <w:ind w:left="0"/>
        <w:jc w:val="both"/>
      </w:pPr>
      <w:r>
        <w:rPr>
          <w:rFonts w:ascii="Times New Roman"/>
          <w:b w:val="false"/>
          <w:i w:val="false"/>
          <w:color w:val="000000"/>
          <w:sz w:val="28"/>
        </w:rPr>
        <w:t>
      В отношении проверяемых субъектов, отнесенных к высокой степени риска, проводятся выборочные проверки.</w:t>
      </w:r>
    </w:p>
    <w:p>
      <w:pPr>
        <w:spacing w:after="0"/>
        <w:ind w:left="0"/>
        <w:jc w:val="both"/>
      </w:pPr>
      <w:r>
        <w:rPr>
          <w:rFonts w:ascii="Times New Roman"/>
          <w:b w:val="false"/>
          <w:i w:val="false"/>
          <w:color w:val="000000"/>
          <w:sz w:val="28"/>
        </w:rPr>
        <w:t>
      В отношении проверяемых субъектов, не отнесенных к высокой степени риска, проводятся внеплановые проверки.</w:t>
      </w:r>
    </w:p>
    <w:bookmarkStart w:name="z14" w:id="18"/>
    <w:p>
      <w:pPr>
        <w:spacing w:after="0"/>
        <w:ind w:left="0"/>
        <w:jc w:val="left"/>
      </w:pPr>
      <w:r>
        <w:rPr>
          <w:rFonts w:ascii="Times New Roman"/>
          <w:b/>
          <w:i w:val="false"/>
          <w:color w:val="000000"/>
        </w:rPr>
        <w:t xml:space="preserve"> 3. Субъективные критерии оценки степени риска</w:t>
      </w:r>
    </w:p>
    <w:bookmarkEnd w:id="18"/>
    <w:bookmarkStart w:name="z15" w:id="19"/>
    <w:p>
      <w:pPr>
        <w:spacing w:after="0"/>
        <w:ind w:left="0"/>
        <w:jc w:val="both"/>
      </w:pPr>
      <w:r>
        <w:rPr>
          <w:rFonts w:ascii="Times New Roman"/>
          <w:b w:val="false"/>
          <w:i w:val="false"/>
          <w:color w:val="000000"/>
          <w:sz w:val="28"/>
        </w:rPr>
        <w:t>
      5. Последующее отнесение проверяемых субъектов к степени риска осуществляется с учетом субъективных критериев. Для формирования субъективных критериев используются следующие источники информации:</w:t>
      </w:r>
    </w:p>
    <w:bookmarkEnd w:id="19"/>
    <w:p>
      <w:pPr>
        <w:spacing w:after="0"/>
        <w:ind w:left="0"/>
        <w:jc w:val="both"/>
      </w:pPr>
      <w:r>
        <w:rPr>
          <w:rFonts w:ascii="Times New Roman"/>
          <w:b w:val="false"/>
          <w:i w:val="false"/>
          <w:color w:val="000000"/>
          <w:sz w:val="28"/>
        </w:rPr>
        <w:t>
      1) результаты предыдущих проверок. При этом степень тяжести нарушений (грубое, значительное, незначительное) устанавливается в случае несоблюдения требований законодательства, отраженных в проверочных листах;</w:t>
      </w:r>
    </w:p>
    <w:p>
      <w:pPr>
        <w:spacing w:after="0"/>
        <w:ind w:left="0"/>
        <w:jc w:val="both"/>
      </w:pPr>
      <w:r>
        <w:rPr>
          <w:rFonts w:ascii="Times New Roman"/>
          <w:b w:val="false"/>
          <w:i w:val="false"/>
          <w:color w:val="000000"/>
          <w:sz w:val="28"/>
        </w:rPr>
        <w:t>
      2) наличие подтвержденных жалоб и обращений от граждан и юридических лиц, неисполненных предписаний по устранению нарушений правил содержания общего имущества объекта кондоминиума.</w:t>
      </w:r>
    </w:p>
    <w:bookmarkStart w:name="z16" w:id="20"/>
    <w:p>
      <w:pPr>
        <w:spacing w:after="0"/>
        <w:ind w:left="0"/>
        <w:jc w:val="both"/>
      </w:pPr>
      <w:r>
        <w:rPr>
          <w:rFonts w:ascii="Times New Roman"/>
          <w:b w:val="false"/>
          <w:i w:val="false"/>
          <w:color w:val="000000"/>
          <w:sz w:val="28"/>
        </w:rPr>
        <w:t>
      6. На основании имеющихся источников информации субъективные критерии подразделяются на три степени нарушения: грубые, значительные, незначительные.</w:t>
      </w:r>
    </w:p>
    <w:bookmarkEnd w:id="20"/>
    <w:p>
      <w:pPr>
        <w:spacing w:after="0"/>
        <w:ind w:left="0"/>
        <w:jc w:val="both"/>
      </w:pPr>
      <w:r>
        <w:rPr>
          <w:rFonts w:ascii="Times New Roman"/>
          <w:b w:val="false"/>
          <w:i w:val="false"/>
          <w:color w:val="000000"/>
          <w:sz w:val="28"/>
        </w:rPr>
        <w:t>
      Субъективные критерии приведены в Приложении к настоящим Критериям.</w:t>
      </w:r>
    </w:p>
    <w:bookmarkStart w:name="z17" w:id="21"/>
    <w:p>
      <w:pPr>
        <w:spacing w:after="0"/>
        <w:ind w:left="0"/>
        <w:jc w:val="both"/>
      </w:pPr>
      <w:r>
        <w:rPr>
          <w:rFonts w:ascii="Times New Roman"/>
          <w:b w:val="false"/>
          <w:i w:val="false"/>
          <w:color w:val="000000"/>
          <w:sz w:val="28"/>
        </w:rPr>
        <w:t>
      7. При выявлении одного грубого нарушения, субъекту присваивается показатель степени риска 100 и в отношении него проводится выборочная проверка.</w:t>
      </w:r>
    </w:p>
    <w:bookmarkEnd w:id="21"/>
    <w:p>
      <w:pPr>
        <w:spacing w:after="0"/>
        <w:ind w:left="0"/>
        <w:jc w:val="both"/>
      </w:pPr>
      <w:r>
        <w:rPr>
          <w:rFonts w:ascii="Times New Roman"/>
          <w:b w:val="false"/>
          <w:i w:val="false"/>
          <w:color w:val="000000"/>
          <w:sz w:val="28"/>
        </w:rPr>
        <w:t xml:space="preserve">
      В случае если грубых нарушений не выявлено, то для определения показателя степени риска рассчитывается суммарный показатель по нарушениям значительной и незначительной степени. </w:t>
      </w:r>
    </w:p>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выявленных значительных нарушений;</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4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4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406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064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общее количество незначительных нарушений;</w:t>
      </w:r>
      <w:r>
        <w:br/>
      </w:r>
      <w:r>
        <w:rPr>
          <w:rFonts w:ascii="Times New Roman"/>
          <w:b w:val="false"/>
          <w:i w:val="false"/>
          <w:color w:val="000000"/>
          <w:sz w:val="28"/>
        </w:rPr>
        <w:t>
</w:t>
      </w:r>
      <w:r>
        <w:br/>
      </w:r>
    </w:p>
    <w:p>
      <w:pPr>
        <w:spacing w:after="0"/>
        <w:ind w:left="0"/>
        <w:jc w:val="both"/>
      </w:pPr>
      <w:r>
        <w:drawing>
          <wp:inline distT="0" distB="0" distL="0" distR="0">
            <wp:extent cx="444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выявленных незначительных нарушений;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Общий показатель степени риска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рассчитывается по шкале от 0 до 100 и определяется путем суммирования показателей значительных и незначительных по следующей формуле:</w:t>
      </w:r>
      <w:r>
        <w:br/>
      </w:r>
      <w:r>
        <w:rPr>
          <w:rFonts w:ascii="Times New Roman"/>
          <w:b w:val="false"/>
          <w:i w:val="false"/>
          <w:color w:val="000000"/>
          <w:sz w:val="28"/>
        </w:rPr>
        <w:t>
</w:t>
      </w:r>
      <w:r>
        <w:br/>
      </w:r>
    </w:p>
    <w:p>
      <w:pPr>
        <w:spacing w:after="0"/>
        <w:ind w:left="0"/>
        <w:jc w:val="both"/>
      </w:pPr>
      <w:r>
        <w:drawing>
          <wp:inline distT="0" distB="0" distL="0" distR="0">
            <wp:extent cx="1562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5621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общий показатель степени риска;</w:t>
      </w:r>
      <w:r>
        <w:br/>
      </w:r>
      <w:r>
        <w:rPr>
          <w:rFonts w:ascii="Times New Roman"/>
          <w:b w:val="false"/>
          <w:i w:val="false"/>
          <w:color w:val="000000"/>
          <w:sz w:val="28"/>
        </w:rPr>
        <w:t>
</w:t>
      </w:r>
      <w:r>
        <w:br/>
      </w:r>
    </w:p>
    <w:p>
      <w:pPr>
        <w:spacing w:after="0"/>
        <w:ind w:left="0"/>
        <w:jc w:val="both"/>
      </w:pPr>
      <w:r>
        <w:drawing>
          <wp:inline distT="0" distB="0" distL="0" distR="0">
            <wp:extent cx="419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91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значительных нарушений; </w:t>
      </w:r>
      <w:r>
        <w:br/>
      </w:r>
      <w:r>
        <w:rPr>
          <w:rFonts w:ascii="Times New Roman"/>
          <w:b w:val="false"/>
          <w:i w:val="false"/>
          <w:color w:val="000000"/>
          <w:sz w:val="28"/>
        </w:rPr>
        <w:t>
</w:t>
      </w:r>
      <w:r>
        <w:br/>
      </w:r>
    </w:p>
    <w:p>
      <w:pPr>
        <w:spacing w:after="0"/>
        <w:ind w:left="0"/>
        <w:jc w:val="both"/>
      </w:pPr>
      <w:r>
        <w:drawing>
          <wp:inline distT="0" distB="0" distL="0" distR="0">
            <wp:extent cx="457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57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показатель незначительных нарушений.</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8. По показателям степени риска проверяемый субъект (объект) относится:</w:t>
      </w:r>
    </w:p>
    <w:bookmarkEnd w:id="22"/>
    <w:p>
      <w:pPr>
        <w:spacing w:after="0"/>
        <w:ind w:left="0"/>
        <w:jc w:val="both"/>
      </w:pPr>
      <w:r>
        <w:rPr>
          <w:rFonts w:ascii="Times New Roman"/>
          <w:b w:val="false"/>
          <w:i w:val="false"/>
          <w:color w:val="000000"/>
          <w:sz w:val="28"/>
        </w:rPr>
        <w:t>
      1) к высокой степени риска – при показателе степени риска от 60 до 100 и в отношении него проводится выборочная проверка;</w:t>
      </w:r>
    </w:p>
    <w:p>
      <w:pPr>
        <w:spacing w:after="0"/>
        <w:ind w:left="0"/>
        <w:jc w:val="both"/>
      </w:pPr>
      <w:r>
        <w:rPr>
          <w:rFonts w:ascii="Times New Roman"/>
          <w:b w:val="false"/>
          <w:i w:val="false"/>
          <w:color w:val="000000"/>
          <w:sz w:val="28"/>
        </w:rPr>
        <w:t>
      2) не отнесенной к высокой степени риска – при показателе степени риска от 0 до 60 и в отношении него не проводится выборочная проверка.</w:t>
      </w:r>
    </w:p>
    <w:bookmarkStart w:name="z19" w:id="23"/>
    <w:p>
      <w:pPr>
        <w:spacing w:after="0"/>
        <w:ind w:left="0"/>
        <w:jc w:val="both"/>
      </w:pPr>
      <w:r>
        <w:rPr>
          <w:rFonts w:ascii="Times New Roman"/>
          <w:b w:val="false"/>
          <w:i w:val="false"/>
          <w:color w:val="000000"/>
          <w:sz w:val="28"/>
        </w:rPr>
        <w:t>
      9. При анализе и оценке степени риска не применяются данные субъективных критериев, ранее учтенных и использованных в отношении конкретного проверяемого субъекта.</w:t>
      </w:r>
    </w:p>
    <w:bookmarkEnd w:id="23"/>
    <w:bookmarkStart w:name="z20" w:id="24"/>
    <w:p>
      <w:pPr>
        <w:spacing w:after="0"/>
        <w:ind w:left="0"/>
        <w:jc w:val="both"/>
      </w:pPr>
      <w:r>
        <w:rPr>
          <w:rFonts w:ascii="Times New Roman"/>
          <w:b w:val="false"/>
          <w:i w:val="false"/>
          <w:color w:val="000000"/>
          <w:sz w:val="28"/>
        </w:rPr>
        <w:t>
      10. Проведение выборочной проверки осуществляется не чаще одного раза в год.</w:t>
      </w:r>
    </w:p>
    <w:bookmarkEnd w:id="24"/>
    <w:bookmarkStart w:name="z21" w:id="25"/>
    <w:p>
      <w:pPr>
        <w:spacing w:after="0"/>
        <w:ind w:left="0"/>
        <w:jc w:val="both"/>
      </w:pPr>
      <w:r>
        <w:rPr>
          <w:rFonts w:ascii="Times New Roman"/>
          <w:b w:val="false"/>
          <w:i w:val="false"/>
          <w:color w:val="000000"/>
          <w:sz w:val="28"/>
        </w:rPr>
        <w:t>
      11. Выборочные проверки проводятся на основании списков выборочных проверок, формируемых на полугодие по результатам проводимого анализа и оценки, утвержденных первым руководителем местного исполнительного органа. Списки выборочных проверок направляются в уполномоченный орган по правовой статистике и специальным учетам в срок не позднее, чем за пятнадцать календарных дней до начала соответствующего отчетного периода.</w:t>
      </w:r>
    </w:p>
    <w:bookmarkEnd w:id="25"/>
    <w:bookmarkStart w:name="z22" w:id="26"/>
    <w:p>
      <w:pPr>
        <w:spacing w:after="0"/>
        <w:ind w:left="0"/>
        <w:jc w:val="both"/>
      </w:pPr>
      <w:r>
        <w:rPr>
          <w:rFonts w:ascii="Times New Roman"/>
          <w:b w:val="false"/>
          <w:i w:val="false"/>
          <w:color w:val="000000"/>
          <w:sz w:val="28"/>
        </w:rPr>
        <w:t>
      12. Списки выборочных проверок составляются с учетом:</w:t>
      </w:r>
    </w:p>
    <w:bookmarkEnd w:id="26"/>
    <w:p>
      <w:pPr>
        <w:spacing w:after="0"/>
        <w:ind w:left="0"/>
        <w:jc w:val="both"/>
      </w:pPr>
      <w:r>
        <w:rPr>
          <w:rFonts w:ascii="Times New Roman"/>
          <w:b w:val="false"/>
          <w:i w:val="false"/>
          <w:color w:val="000000"/>
          <w:sz w:val="28"/>
        </w:rPr>
        <w:t>
      1) приоритетности проверяемых субъектов с наибольшим показателем степени риска по субъективным критериям;</w:t>
      </w:r>
    </w:p>
    <w:p>
      <w:pPr>
        <w:spacing w:after="0"/>
        <w:ind w:left="0"/>
        <w:jc w:val="both"/>
      </w:pPr>
      <w:r>
        <w:rPr>
          <w:rFonts w:ascii="Times New Roman"/>
          <w:b w:val="false"/>
          <w:i w:val="false"/>
          <w:color w:val="000000"/>
          <w:sz w:val="28"/>
        </w:rPr>
        <w:t>
      2) нагрузки на должностных лиц, осуществляющих проверки, государственного органа.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в сфере управления</w:t>
            </w:r>
            <w:r>
              <w:br/>
            </w:r>
            <w:r>
              <w:rPr>
                <w:rFonts w:ascii="Times New Roman"/>
                <w:b w:val="false"/>
                <w:i w:val="false"/>
                <w:color w:val="000000"/>
                <w:sz w:val="20"/>
              </w:rPr>
              <w:t>жилищным фондом</w:t>
            </w:r>
          </w:p>
        </w:tc>
      </w:tr>
    </w:tbl>
    <w:p>
      <w:pPr>
        <w:spacing w:after="0"/>
        <w:ind w:left="0"/>
        <w:jc w:val="left"/>
      </w:pPr>
      <w:r>
        <w:rPr>
          <w:rFonts w:ascii="Times New Roman"/>
          <w:b/>
          <w:i w:val="false"/>
          <w:color w:val="000000"/>
        </w:rPr>
        <w:t xml:space="preserve"> Субъективные критерии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9322"/>
        <w:gridCol w:w="946"/>
      </w:tblGrid>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Субъективные критерии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Результаты предыдущих проверок (степень тяжести устанавливается в случае несоблюдения требований законодательства, отраженных в проверочных листах)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 субъектом сервисной деятельности одобренного протокольным решением собрания собственников помещений (квартир)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объектов кондоминиума в органах юстиции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сберегательного счета на каждый объект кондоминиума в банке второго уровня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текущего счета на каждый объект кондоминиума в банке второго уровня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ежеквартального отчета по управлению объектом кондоминиума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сметы расходов на содержание общего имущества объекта кондоминиума утвержденной протоколом собрания членов кооператива собственников помещений (квартир)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Отсутствие неисправности в системах центрального отопления, водоснабжения, водоотведения, электроснабжения общего имущества кондоминиума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управления объектом кондоминиума соответствующего типовой форме договора управления объектом кондоминиума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подтверждающих документов о проведении плановых осмотров технического состояния конструкций и инженерного оборудования объекта кондоминиума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выполнении работ по дезинфекции, дезинсекции и дератизации подвальных помещений и других мест общего пользования объекта кондоминиума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согласованной с жилищной инспекцией сметы расходов на проведение отдельных видов капитального ремонта общего имущества объекта кондоминиума, финансируемых с участием жилищной помощи*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полномочий правления кооператива собственников помещений (квартир), определенных уставом проверяемого субъекта**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протоколов собрания собственников помещений (квартир) Типовому протоколу собрания собственников помещений (квартир)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Наличие жалоб, обращений и предписаний:</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от физических либо юридических лиц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подтвержденной жалобы от физических либо юридических лиц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неисполненных предписаний по устранению нарушений правил содержания общего имущества объекта кондоминиума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bl>
    <w:p>
      <w:pPr>
        <w:spacing w:after="0"/>
        <w:ind w:left="0"/>
        <w:jc w:val="left"/>
      </w:pPr>
    </w:p>
    <w:p>
      <w:pPr>
        <w:spacing w:after="0"/>
        <w:ind w:left="0"/>
        <w:jc w:val="both"/>
      </w:pPr>
      <w:r>
        <w:rPr>
          <w:rFonts w:ascii="Times New Roman"/>
          <w:b w:val="false"/>
          <w:i w:val="false"/>
          <w:color w:val="000000"/>
          <w:sz w:val="28"/>
        </w:rPr>
        <w:t>
      * данное требование применяется при наличии протокольного решения собрания собственников помещений (квартир) о проведении капитального ремонта, финансируемого с участием жилищной помощи.</w:t>
      </w:r>
    </w:p>
    <w:p>
      <w:pPr>
        <w:spacing w:after="0"/>
        <w:ind w:left="0"/>
        <w:jc w:val="both"/>
      </w:pPr>
      <w:r>
        <w:rPr>
          <w:rFonts w:ascii="Times New Roman"/>
          <w:b w:val="false"/>
          <w:i w:val="false"/>
          <w:color w:val="000000"/>
          <w:sz w:val="28"/>
        </w:rPr>
        <w:t>
      ** данное требование не применимо к субъектам предпринимательской деятельности.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w:t>
            </w:r>
            <w:r>
              <w:br/>
            </w:r>
            <w:r>
              <w:rPr>
                <w:rFonts w:ascii="Times New Roman"/>
                <w:b w:val="false"/>
                <w:i w:val="false"/>
                <w:color w:val="000000"/>
                <w:sz w:val="20"/>
              </w:rPr>
              <w:t>№ 787</w:t>
            </w:r>
          </w:p>
        </w:tc>
      </w:tr>
    </w:tbl>
    <w:p>
      <w:pPr>
        <w:spacing w:after="0"/>
        <w:ind w:left="0"/>
        <w:jc w:val="both"/>
      </w:pPr>
      <w:r>
        <w:rPr>
          <w:rFonts w:ascii="Times New Roman"/>
          <w:b w:val="false"/>
          <w:i w:val="false"/>
          <w:color w:val="000000"/>
          <w:sz w:val="28"/>
        </w:rPr>
        <w:t>
      форма</w:t>
      </w:r>
    </w:p>
    <w:p>
      <w:pPr>
        <w:spacing w:after="0"/>
        <w:ind w:left="0"/>
        <w:jc w:val="left"/>
      </w:pPr>
      <w:r>
        <w:rPr>
          <w:rFonts w:ascii="Times New Roman"/>
          <w:b/>
          <w:i w:val="false"/>
          <w:color w:val="000000"/>
        </w:rPr>
        <w:t xml:space="preserve"> Проверочный лист</w:t>
      </w:r>
      <w:r>
        <w:br/>
      </w:r>
      <w:r>
        <w:rPr>
          <w:rFonts w:ascii="Times New Roman"/>
          <w:b/>
          <w:i w:val="false"/>
          <w:color w:val="000000"/>
        </w:rPr>
        <w:t>в сфере управления жилищным фондом</w:t>
      </w:r>
    </w:p>
    <w:p>
      <w:pPr>
        <w:spacing w:after="0"/>
        <w:ind w:left="0"/>
        <w:jc w:val="both"/>
      </w:pPr>
      <w:r>
        <w:rPr>
          <w:rFonts w:ascii="Times New Roman"/>
          <w:b w:val="false"/>
          <w:i w:val="false"/>
          <w:color w:val="000000"/>
          <w:sz w:val="28"/>
        </w:rPr>
        <w:t>
      в отношении _______________________________________________________</w:t>
      </w:r>
    </w:p>
    <w:p>
      <w:pPr>
        <w:spacing w:after="0"/>
        <w:ind w:left="0"/>
        <w:jc w:val="both"/>
      </w:pPr>
      <w:r>
        <w:rPr>
          <w:rFonts w:ascii="Times New Roman"/>
          <w:b w:val="false"/>
          <w:i w:val="false"/>
          <w:color w:val="000000"/>
          <w:sz w:val="28"/>
        </w:rPr>
        <w:t>
      Государственный орган, назначивший проверку 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w:t>
      </w:r>
    </w:p>
    <w:p>
      <w:pPr>
        <w:spacing w:after="0"/>
        <w:ind w:left="0"/>
        <w:jc w:val="both"/>
      </w:pPr>
      <w:r>
        <w:rPr>
          <w:rFonts w:ascii="Times New Roman"/>
          <w:b w:val="false"/>
          <w:i w:val="false"/>
          <w:color w:val="000000"/>
          <w:sz w:val="28"/>
        </w:rPr>
        <w:t>
      (№, дата)</w:t>
      </w:r>
    </w:p>
    <w:p>
      <w:pPr>
        <w:spacing w:after="0"/>
        <w:ind w:left="0"/>
        <w:jc w:val="both"/>
      </w:pPr>
      <w:r>
        <w:rPr>
          <w:rFonts w:ascii="Times New Roman"/>
          <w:b w:val="false"/>
          <w:i w:val="false"/>
          <w:color w:val="000000"/>
          <w:sz w:val="28"/>
        </w:rPr>
        <w:t>
      Наименование проверяемого субъекта __________________________________</w:t>
      </w:r>
    </w:p>
    <w:p>
      <w:pPr>
        <w:spacing w:after="0"/>
        <w:ind w:left="0"/>
        <w:jc w:val="both"/>
      </w:pPr>
      <w:r>
        <w:rPr>
          <w:rFonts w:ascii="Times New Roman"/>
          <w:b w:val="false"/>
          <w:i w:val="false"/>
          <w:color w:val="000000"/>
          <w:sz w:val="28"/>
        </w:rPr>
        <w:t>
      (ИИН), БИН проверяемого субъекта____________________________________</w:t>
      </w:r>
    </w:p>
    <w:p>
      <w:pPr>
        <w:spacing w:after="0"/>
        <w:ind w:left="0"/>
        <w:jc w:val="both"/>
      </w:pPr>
      <w:r>
        <w:rPr>
          <w:rFonts w:ascii="Times New Roman"/>
          <w:b w:val="false"/>
          <w:i w:val="false"/>
          <w:color w:val="000000"/>
          <w:sz w:val="28"/>
        </w:rPr>
        <w:t>
      Адрес места нахождения (юридический адрес)___________________________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0866"/>
        <w:gridCol w:w="143"/>
        <w:gridCol w:w="233"/>
        <w:gridCol w:w="233"/>
        <w:gridCol w:w="324"/>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с субъектом сервисной деятельности одобренного протокольным решением собрания собственников помещений (квартир)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 от 16 апреля 1997 года "О жилищных отношениях" (далее – Закон), Правила содержания общего имущества объекта кондоминиума, утвержденные </w:t>
            </w:r>
            <w:r>
              <w:rPr>
                <w:rFonts w:ascii="Times New Roman"/>
                <w:b w:val="false"/>
                <w:i w:val="false"/>
                <w:color w:val="000000"/>
                <w:sz w:val="20"/>
              </w:rPr>
              <w:t>приказом</w:t>
            </w:r>
            <w:r>
              <w:rPr>
                <w:rFonts w:ascii="Times New Roman"/>
                <w:b w:val="false"/>
                <w:i w:val="false"/>
                <w:color w:val="000000"/>
                <w:sz w:val="20"/>
              </w:rPr>
              <w:t xml:space="preserve"> Министра национальной экономики Республики Казахстан от 19 февраля 2015 года № 108, зарегистрированным в Реестре государственной регистрации нормативных правовых актов под № 10528 (далее – Правила)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объектов кондоминиума в органах юстиции (Закон)</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сметы расходов на содержание общего имущества объекта кондоминиума утвержденной протоколом общего собрания членов кооператива (Закон)</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сберегательного счета на каждый объект кондоминиума в банке второго уровня (Закон)</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текущего счета на каждый объект кондоминиума в банке второго уровня (Закон)</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ежеквартального отчета по управлению объектом кондоминиума (Закон, </w:t>
            </w:r>
            <w:r>
              <w:rPr>
                <w:rFonts w:ascii="Times New Roman"/>
                <w:b w:val="false"/>
                <w:i w:val="false"/>
                <w:color w:val="000000"/>
                <w:sz w:val="20"/>
              </w:rPr>
              <w:t>Кодекс</w:t>
            </w:r>
            <w:r>
              <w:rPr>
                <w:rFonts w:ascii="Times New Roman"/>
                <w:b w:val="false"/>
                <w:i w:val="false"/>
                <w:color w:val="000000"/>
                <w:sz w:val="20"/>
              </w:rPr>
              <w:t xml:space="preserve"> Республики Казахстан от 5 июля 2014 года "Об административных правонарушениях")</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проведении плановых осмотров технического состояния конструкций и инженерного оборудования объекта кондоминиума в соответствии с договором (Закон, Правила)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 выполнении работ по дезинфекции, дезинсекции и дератизации подвальных помещений и других мест общего пользования в соответствии с договором (Закон, Правила)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согласованной с жилищной инспекцией сметы расходов на проведение отдельных видов капитального ремонта общего имущества объекта кондоминиума, финансируемых с участием жилищной помощи (Правила)*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полномочий правления кооператива собственников помещений (квартир), определенных уставом проверяемого субъекта (Закон)**</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неисправности в системах центрального отопления, водоснабжения, водоотведения, электроснабжения общего имущества кондоминиума (Закон, Правила)</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договора управления объектом кондоминиума соответствующего типовой форме договора управления объектом кондоминиума (типовая форма договора управления объектом кондоминиума, утвержденная </w:t>
            </w:r>
            <w:r>
              <w:rPr>
                <w:rFonts w:ascii="Times New Roman"/>
                <w:b w:val="false"/>
                <w:i w:val="false"/>
                <w:color w:val="000000"/>
                <w:sz w:val="20"/>
              </w:rPr>
              <w:t>приказом</w:t>
            </w:r>
            <w:r>
              <w:rPr>
                <w:rFonts w:ascii="Times New Roman"/>
                <w:b w:val="false"/>
                <w:i w:val="false"/>
                <w:color w:val="000000"/>
                <w:sz w:val="20"/>
              </w:rPr>
              <w:t xml:space="preserve"> Министра национальной экономики Республики Казахстан от 20 марта 2015 года № 242, зарегистрированный в Реестре государственной регистрации нормативных правовых актов под № 10574)</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протоколов собрания собственников помещений (квартир) Типовому протоколу собрания собственников помещений (квартир) (Закон,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20 марта 2015 года № 243 "Об утверждении Типовых форм протокола собрания собственников помещений (квартир) и листа голосования при проведении письменного опроса собственников помещений (квартир), отчета по управлению объектом кондоминиума" зарегистрированный в Реестре государственной регистрации нормативных правовых актов под № 10573)</w:t>
            </w:r>
          </w:p>
        </w:tc>
        <w:tc>
          <w:tcPr>
            <w:tcW w:w="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данное требование применяется при наличии протокольного решения собрания собственников помещений (квартир) о проведении капитального ремонта, финансируемого с участием жилищной помощи.</w:t>
      </w:r>
    </w:p>
    <w:p>
      <w:pPr>
        <w:spacing w:after="0"/>
        <w:ind w:left="0"/>
        <w:jc w:val="both"/>
      </w:pPr>
      <w:r>
        <w:rPr>
          <w:rFonts w:ascii="Times New Roman"/>
          <w:b w:val="false"/>
          <w:i w:val="false"/>
          <w:color w:val="000000"/>
          <w:sz w:val="28"/>
        </w:rPr>
        <w:t>
      ** данное требование не применимо к субъектам предпринимательской деятельности.</w:t>
      </w:r>
    </w:p>
    <w:p>
      <w:pPr>
        <w:spacing w:after="0"/>
        <w:ind w:left="0"/>
        <w:jc w:val="both"/>
      </w:pPr>
      <w:r>
        <w:rPr>
          <w:rFonts w:ascii="Times New Roman"/>
          <w:b w:val="false"/>
          <w:i w:val="false"/>
          <w:color w:val="000000"/>
          <w:sz w:val="28"/>
        </w:rPr>
        <w:t>
      Должностное (ые) лицо (а) __________ _________ ____________</w:t>
      </w:r>
    </w:p>
    <w:p>
      <w:pPr>
        <w:spacing w:after="0"/>
        <w:ind w:left="0"/>
        <w:jc w:val="both"/>
      </w:pPr>
      <w:r>
        <w:rPr>
          <w:rFonts w:ascii="Times New Roman"/>
          <w:b w:val="false"/>
          <w:i w:val="false"/>
          <w:color w:val="000000"/>
          <w:sz w:val="28"/>
        </w:rPr>
        <w:t>
      (должность) (подпись) (Ф.И.О. (при его наличии)</w:t>
      </w:r>
    </w:p>
    <w:p>
      <w:pPr>
        <w:spacing w:after="0"/>
        <w:ind w:left="0"/>
        <w:jc w:val="both"/>
      </w:pPr>
      <w:r>
        <w:rPr>
          <w:rFonts w:ascii="Times New Roman"/>
          <w:b w:val="false"/>
          <w:i w:val="false"/>
          <w:color w:val="000000"/>
          <w:sz w:val="28"/>
        </w:rPr>
        <w:t>
      __________ _________ ____________</w:t>
      </w:r>
    </w:p>
    <w:p>
      <w:pPr>
        <w:spacing w:after="0"/>
        <w:ind w:left="0"/>
        <w:jc w:val="both"/>
      </w:pPr>
      <w:r>
        <w:rPr>
          <w:rFonts w:ascii="Times New Roman"/>
          <w:b w:val="false"/>
          <w:i w:val="false"/>
          <w:color w:val="000000"/>
          <w:sz w:val="28"/>
        </w:rPr>
        <w:t xml:space="preserve">
      (должность) (подпись) (Ф.И.О. (при его наличии) </w:t>
      </w:r>
    </w:p>
    <w:p>
      <w:pPr>
        <w:spacing w:after="0"/>
        <w:ind w:left="0"/>
        <w:jc w:val="both"/>
      </w:pPr>
      <w:r>
        <w:rPr>
          <w:rFonts w:ascii="Times New Roman"/>
          <w:b w:val="false"/>
          <w:i w:val="false"/>
          <w:color w:val="000000"/>
          <w:sz w:val="28"/>
        </w:rPr>
        <w:t xml:space="preserve">
      Руководитель </w:t>
      </w:r>
    </w:p>
    <w:p>
      <w:pPr>
        <w:spacing w:after="0"/>
        <w:ind w:left="0"/>
        <w:jc w:val="both"/>
      </w:pPr>
      <w:r>
        <w:rPr>
          <w:rFonts w:ascii="Times New Roman"/>
          <w:b w:val="false"/>
          <w:i w:val="false"/>
          <w:color w:val="000000"/>
          <w:sz w:val="28"/>
        </w:rPr>
        <w:t>
      проверяемого субъекта __________ _________ ____________</w:t>
      </w:r>
    </w:p>
    <w:p>
      <w:pPr>
        <w:spacing w:after="0"/>
        <w:ind w:left="0"/>
        <w:jc w:val="both"/>
      </w:pPr>
      <w:r>
        <w:rPr>
          <w:rFonts w:ascii="Times New Roman"/>
          <w:b w:val="false"/>
          <w:i w:val="false"/>
          <w:color w:val="000000"/>
          <w:sz w:val="28"/>
        </w:rPr>
        <w:t>
      (должность) (подпись) (Ф.И.О.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header.xml" Type="http://schemas.openxmlformats.org/officeDocument/2006/relationships/header" Id="rId1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