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6de4" w14:textId="ef96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Координационном совете по взаимодействию с неправительственными организациями при уполномоченном органе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2015 года № 404. Зарегистрирован в Министерстве юстиции Республики Казахстан 29 декабря 2015 года № 12623. Утратил силу приказом Министра по делам религий и гражданского общества Республики Казахстан от 4 мая 2018 года № 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делам религий и гражданского общества РК от 04.05.2018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взаимодействию с неправительственными организациями при уполномоченном органе.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 взаимодействию с</w:t>
      </w:r>
      <w:r>
        <w:br/>
      </w:r>
      <w:r>
        <w:rPr>
          <w:rFonts w:ascii="Times New Roman"/>
          <w:b/>
          <w:i w:val="false"/>
          <w:color w:val="000000"/>
        </w:rPr>
        <w:t>неправительственными организациями при уполномоченном органе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Координационный совет по взаимодействию с неправительственными организациями при уполномоченном органе (далее – Координационный совет) является консультативно-совещательным органом при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взаимодействия с неправительственными организациями (далее –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Координационный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31 мая 1996 года "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от 16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от 12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социальном заказе, грантах и премиях для неправительственных организаций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взаимодействия с неправительственными организациями, а также настоящим Положением о Координационном совете по взаимодействию с неправительственными организациями при уполномоченном органе.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Координационного совета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Координационного совета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неправительственных организаций к разработке предложений по формированию и реализации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роста гражданской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нормативных правовых актов по вопросам взаимодействия государственных органов с неправительственными организациями.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возложенных задач Координационный совет выполняет следующие функции: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созданию благоприятных условий для развития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рекомендации по присуждению премий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предложения по повышению эффективности взаимодействия государственных органов и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вопросы реализации государственного социального заказа,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грантов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присуждения премий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приглашает и заслушивает на заседаниях Координационного совета представителей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от государственных органов и иных организаций необходимые материалы и документы по вопросам, входящим в компетенцию Координационного совета.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Координационного совета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Координационного совета состоит из председателя, заместителя председателя, секретаря и членов Координационного совета, формируемых из числа представителей государственных органов и неправительственных организаций.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представителей неправительственных организаций в Координационном совете вносятся изменения не реже чем один раз в два года.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Координационный совет возглавляет председатель.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работы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заседания Координационного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его функции выполняет заместитель.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Координационного совета обеспечивает разработку плана работы Координационного совета, составление протокола заседания. Секретарь не имеет права голоса.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Координационного совета проводятся не реже одного раза в полугодие. Заседание Координационного совета считается правомочным, если в нем принимали участие не менее двух третей от общего числа членов Координационного совета.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Координационного совета является Комитет по развитию языков и общественно-политической работы Министерства культуры и спорта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Координационного совета осуществляет организационно-техническое обеспечение работы Координационного совета, в том числе готовит предложения по повестке дня заседания Координационного совета, необходимые документы, материалы, которые направляются секретарем Координационного совета членам Координационного совета за три рабочих дня до проведения заседания Координационного совета с приложением проекта протокола.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Координационного совета принимаются открытым голосованием и считаются принятыми, если за них подано большинство голосов от общего количества членов Координационного совета. В случае равенства голосов принятым считается решение, за которое проголосовал председатель.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Координационного совета оформляются протоколом и носят рекомендательный характер.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Координационного совета в случае выражения особого мнения излагают его в письменном виде и прикладывают к протоколу Координационного совета.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