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dde3" w14:textId="abcd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19-1/277 "Об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2015 года № 19-1/1052. Зарегистрирован в Министерстве юстиции Республики Казахстан 29 декабря 2015 года № 12609. Утратил силу приказом Министра водных ресурсов и ирригации Республики Казахстан от 23 июля 2025 года № 180-НҚ.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180-НҚ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19-1/277 "Об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балансов" (зарегистрированный в Реестре государственной регистрации нормативных правовых актов № 11524, опубликованный 22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генеральных и бассейновых схем комплексного использования и охраны водных ресурсов и водохозяйственных балансов,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Проект генеральной СКИОВР разрабатывается уполномоченным органом по согласованию с уполномоченными органами в сфере государственного планирования, индустриально-инновационной деятельности, транспорта и коммуникаций, государственного геологического изучения, рационального и комплексного использования недр, санитарно-эпидемиологического благополучия населения, регионального развития, управления земельными ресурсами и охраны окружающей среды и утверждается Правительством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Генеральная СКИОВР проходит процедуру уточнения и дополнения не реже, чем каждые три года после ее утверждения.";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Бассейновые СКИОВР проходят процедуру уточнения и дополнения не реже, чем каждые три года после их утверждения.".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но не ранее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