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da800" w14:textId="43da8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осуществления клиринговой деятельности по биржевым сделкам и Требований к аппаратно-программному комплексу клирингового центра товарной биржи</w:t>
      </w:r>
    </w:p>
    <w:p>
      <w:pPr>
        <w:spacing w:after="0"/>
        <w:ind w:left="0"/>
        <w:jc w:val="both"/>
      </w:pPr>
      <w:r>
        <w:rPr>
          <w:rFonts w:ascii="Times New Roman"/>
          <w:b w:val="false"/>
          <w:i w:val="false"/>
          <w:color w:val="000000"/>
          <w:sz w:val="28"/>
        </w:rPr>
        <w:t>Приказ и.о. Министра национальной экономики Республики Казахстан от 25 ноября 2015 года № 729. Зарегистрирован в Министерстве юстиции Республики Казахстан 29 декабря 2015 года № 12605.</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3-6)</w:t>
      </w:r>
      <w:r>
        <w:rPr>
          <w:rFonts w:ascii="Times New Roman"/>
          <w:b w:val="false"/>
          <w:i w:val="false"/>
          <w:color w:val="000000"/>
          <w:sz w:val="28"/>
        </w:rPr>
        <w:t xml:space="preserve"> статьи 4 и </w:t>
      </w:r>
      <w:r>
        <w:rPr>
          <w:rFonts w:ascii="Times New Roman"/>
          <w:b w:val="false"/>
          <w:i w:val="false"/>
          <w:color w:val="000000"/>
          <w:sz w:val="28"/>
        </w:rPr>
        <w:t>пунктом 7</w:t>
      </w:r>
      <w:r>
        <w:rPr>
          <w:rFonts w:ascii="Times New Roman"/>
          <w:b w:val="false"/>
          <w:i w:val="false"/>
          <w:color w:val="000000"/>
          <w:sz w:val="28"/>
        </w:rPr>
        <w:t xml:space="preserve"> статьи 17 Закона Республики Казахстан от 4 мая 2009 года "О товарных биржах" </w:t>
      </w:r>
      <w:r>
        <w:rPr>
          <w:rFonts w:ascii="Times New Roman"/>
          <w:b/>
          <w:i w:val="false"/>
          <w:color w:val="000000"/>
          <w:sz w:val="28"/>
        </w:rPr>
        <w:t>ПРИКАЗЫВАЮ:</w:t>
      </w:r>
    </w:p>
    <w:bookmarkEnd w:id="0"/>
    <w:bookmarkStart w:name="z2" w:id="1"/>
    <w:p>
      <w:pPr>
        <w:spacing w:after="0"/>
        <w:ind w:left="0"/>
        <w:jc w:val="both"/>
      </w:pPr>
      <w:r>
        <w:rPr>
          <w:rFonts w:ascii="Times New Roman"/>
          <w:b w:val="false"/>
          <w:i w:val="false"/>
          <w:color w:val="000000"/>
          <w:sz w:val="28"/>
        </w:rPr>
        <w:t>
      1. Утвердить:</w:t>
      </w:r>
    </w:p>
    <w:bookmarkEnd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осуществления клиринговой деятельности по биржевым сделкам согласно приложению 1;</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Требования</w:t>
      </w:r>
      <w:r>
        <w:rPr>
          <w:rFonts w:ascii="Times New Roman"/>
          <w:b w:val="false"/>
          <w:i w:val="false"/>
          <w:color w:val="000000"/>
          <w:sz w:val="28"/>
        </w:rPr>
        <w:t xml:space="preserve"> к аппаратно-программному комплексу клирингового центра товарной биржи согласно приложению 2. </w:t>
      </w:r>
    </w:p>
    <w:bookmarkStart w:name="z3" w:id="2"/>
    <w:p>
      <w:pPr>
        <w:spacing w:after="0"/>
        <w:ind w:left="0"/>
        <w:jc w:val="both"/>
      </w:pPr>
      <w:r>
        <w:rPr>
          <w:rFonts w:ascii="Times New Roman"/>
          <w:b w:val="false"/>
          <w:i w:val="false"/>
          <w:color w:val="000000"/>
          <w:sz w:val="28"/>
        </w:rPr>
        <w:t>
      2. Департаменту регулирования торговой деятельности Министерства национальной экономики Республики Казахстан обеспечить:</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xml:space="preserve">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в информационно-правовой системе "Әділет"; </w:t>
      </w:r>
    </w:p>
    <w:p>
      <w:pPr>
        <w:spacing w:after="0"/>
        <w:ind w:left="0"/>
        <w:jc w:val="both"/>
      </w:pPr>
      <w:r>
        <w:rPr>
          <w:rFonts w:ascii="Times New Roman"/>
          <w:b w:val="false"/>
          <w:i w:val="false"/>
          <w:color w:val="000000"/>
          <w:sz w:val="28"/>
        </w:rPr>
        <w:t>
      3) опубликование настоящего приказа на официальном интернет-ресурсе Министерства национальной экономики Республики Казахстан.</w:t>
      </w:r>
    </w:p>
    <w:bookmarkStart w:name="z4"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3"/>
    <w:bookmarkStart w:name="z5" w:id="4"/>
    <w:p>
      <w:pPr>
        <w:spacing w:after="0"/>
        <w:ind w:left="0"/>
        <w:jc w:val="both"/>
      </w:pPr>
      <w:r>
        <w:rPr>
          <w:rFonts w:ascii="Times New Roman"/>
          <w:b w:val="false"/>
          <w:i w:val="false"/>
          <w:color w:val="000000"/>
          <w:sz w:val="28"/>
        </w:rPr>
        <w:t xml:space="preserve">
      4. Настоящий приказ вводится в действие по истечении десяти календарных дней после дня его первого официального опубликования, за исключением приложения 2 к настоящему приказу, которое вводится в действие с 1 января 2017 года. </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Исполняющий обязанности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Министра национальной экономики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М.Кусаинов</w:t>
            </w:r>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по инвестициям   </w:t>
      </w:r>
    </w:p>
    <w:p>
      <w:pPr>
        <w:spacing w:after="0"/>
        <w:ind w:left="0"/>
        <w:jc w:val="both"/>
      </w:pPr>
      <w:r>
        <w:rPr>
          <w:rFonts w:ascii="Times New Roman"/>
          <w:b w:val="false"/>
          <w:i w:val="false"/>
          <w:color w:val="000000"/>
          <w:sz w:val="28"/>
        </w:rPr>
        <w:t xml:space="preserve">
      и развитию Республики Казахстан   </w:t>
      </w:r>
    </w:p>
    <w:p>
      <w:pPr>
        <w:spacing w:after="0"/>
        <w:ind w:left="0"/>
        <w:jc w:val="both"/>
      </w:pPr>
      <w:r>
        <w:rPr>
          <w:rFonts w:ascii="Times New Roman"/>
          <w:b w:val="false"/>
          <w:i w:val="false"/>
          <w:color w:val="000000"/>
          <w:sz w:val="28"/>
        </w:rPr>
        <w:t xml:space="preserve">
      ____________А. Исекешев   </w:t>
      </w:r>
    </w:p>
    <w:p>
      <w:pPr>
        <w:spacing w:after="0"/>
        <w:ind w:left="0"/>
        <w:jc w:val="both"/>
      </w:pPr>
      <w:r>
        <w:rPr>
          <w:rFonts w:ascii="Times New Roman"/>
          <w:b w:val="false"/>
          <w:i w:val="false"/>
          <w:color w:val="000000"/>
          <w:sz w:val="28"/>
        </w:rPr>
        <w:t>
      "___" _________2015 года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исполняющего обязанности</w:t>
            </w:r>
            <w:r>
              <w:br/>
            </w:r>
            <w:r>
              <w:rPr>
                <w:rFonts w:ascii="Times New Roman"/>
                <w:b w:val="false"/>
                <w:i w:val="false"/>
                <w:color w:val="000000"/>
                <w:sz w:val="20"/>
              </w:rPr>
              <w:t>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ноября 2015 года № 729</w:t>
            </w:r>
          </w:p>
        </w:tc>
      </w:tr>
    </w:tbl>
    <w:bookmarkStart w:name="z6" w:id="5"/>
    <w:p>
      <w:pPr>
        <w:spacing w:after="0"/>
        <w:ind w:left="0"/>
        <w:jc w:val="left"/>
      </w:pPr>
      <w:r>
        <w:rPr>
          <w:rFonts w:ascii="Times New Roman"/>
          <w:b/>
          <w:i w:val="false"/>
          <w:color w:val="000000"/>
        </w:rPr>
        <w:t xml:space="preserve"> Правила осуществления клиринговой деятельности</w:t>
      </w:r>
      <w:r>
        <w:br/>
      </w:r>
      <w:r>
        <w:rPr>
          <w:rFonts w:ascii="Times New Roman"/>
          <w:b/>
          <w:i w:val="false"/>
          <w:color w:val="000000"/>
        </w:rPr>
        <w:t>по биржевым сделкам</w:t>
      </w:r>
      <w:r>
        <w:br/>
      </w:r>
      <w:r>
        <w:rPr>
          <w:rFonts w:ascii="Times New Roman"/>
          <w:b/>
          <w:i w:val="false"/>
          <w:color w:val="000000"/>
        </w:rPr>
        <w:t>Глава 1. Общие положения</w:t>
      </w:r>
    </w:p>
    <w:bookmarkEnd w:id="5"/>
    <w:p>
      <w:pPr>
        <w:spacing w:after="0"/>
        <w:ind w:left="0"/>
        <w:jc w:val="both"/>
      </w:pPr>
      <w:r>
        <w:rPr>
          <w:rFonts w:ascii="Times New Roman"/>
          <w:b w:val="false"/>
          <w:i w:val="false"/>
          <w:color w:val="ff0000"/>
          <w:sz w:val="28"/>
        </w:rPr>
        <w:t xml:space="preserve">
      Сноска. Заголовок главы 1 в редакции приказа Министра торговли и интеграции РК от 03.09.2019 </w:t>
      </w:r>
      <w:r>
        <w:rPr>
          <w:rFonts w:ascii="Times New Roman"/>
          <w:b w:val="false"/>
          <w:i w:val="false"/>
          <w:color w:val="ff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 w:id="6"/>
    <w:p>
      <w:pPr>
        <w:spacing w:after="0"/>
        <w:ind w:left="0"/>
        <w:jc w:val="both"/>
      </w:pPr>
      <w:r>
        <w:rPr>
          <w:rFonts w:ascii="Times New Roman"/>
          <w:b w:val="false"/>
          <w:i w:val="false"/>
          <w:color w:val="000000"/>
          <w:sz w:val="28"/>
        </w:rPr>
        <w:t xml:space="preserve">
      1. Настоящие Правила осуществления клиринговой деятельности по биржевым сделкам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4 мая 2009 года "О товарных биржах" (далее – Закон) и определяют порядок осуществления клиринговой деятельности по биржевым сделкам.</w:t>
      </w:r>
    </w:p>
    <w:bookmarkEnd w:id="6"/>
    <w:p>
      <w:pPr>
        <w:spacing w:after="0"/>
        <w:ind w:left="0"/>
        <w:jc w:val="both"/>
      </w:pPr>
      <w:r>
        <w:rPr>
          <w:rFonts w:ascii="Times New Roman"/>
          <w:b w:val="false"/>
          <w:i w:val="false"/>
          <w:color w:val="000000"/>
          <w:sz w:val="28"/>
        </w:rPr>
        <w:t xml:space="preserve">
      Требования настоящих Правил не распространяются на клиринговую деятельность по фьючерсным и опционным сделкам, порядок осуществления которой регулируется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о рынке ценных бумаг.</w:t>
      </w:r>
    </w:p>
    <w:bookmarkStart w:name="z9" w:id="7"/>
    <w:p>
      <w:pPr>
        <w:spacing w:after="0"/>
        <w:ind w:left="0"/>
        <w:jc w:val="both"/>
      </w:pPr>
      <w:r>
        <w:rPr>
          <w:rFonts w:ascii="Times New Roman"/>
          <w:b w:val="false"/>
          <w:i w:val="false"/>
          <w:color w:val="000000"/>
          <w:sz w:val="28"/>
        </w:rPr>
        <w:t>
      2. В настоящих Правилах используются следующие понятия и термины:</w:t>
      </w:r>
    </w:p>
    <w:bookmarkEnd w:id="7"/>
    <w:p>
      <w:pPr>
        <w:spacing w:after="0"/>
        <w:ind w:left="0"/>
        <w:jc w:val="both"/>
      </w:pPr>
      <w:r>
        <w:rPr>
          <w:rFonts w:ascii="Times New Roman"/>
          <w:b w:val="false"/>
          <w:i w:val="false"/>
          <w:color w:val="000000"/>
          <w:sz w:val="28"/>
        </w:rPr>
        <w:t>
      1) расчетная организация – банк второго уровня или организация, осуществляющие отдельные виды банковских операций, с которой клиринговый центр товарной биржи заключил договор о порядке взаимодействия при проведении биржевых торгов и (или) осуществлении расчетов по сделкам, заключенным на биржевых торгах;</w:t>
      </w:r>
    </w:p>
    <w:bookmarkStart w:name="z47" w:id="8"/>
    <w:p>
      <w:pPr>
        <w:spacing w:after="0"/>
        <w:ind w:left="0"/>
        <w:jc w:val="both"/>
      </w:pPr>
      <w:r>
        <w:rPr>
          <w:rFonts w:ascii="Times New Roman"/>
          <w:b w:val="false"/>
          <w:i w:val="false"/>
          <w:color w:val="000000"/>
          <w:sz w:val="28"/>
        </w:rPr>
        <w:t>
      1-1) клиринговый регистр учета денежных средств – электронная база данных, используемая клиринговой организацией для ведения учета движения денежных средств членов товарной биржи;</w:t>
      </w:r>
    </w:p>
    <w:bookmarkEnd w:id="8"/>
    <w:bookmarkStart w:name="z26" w:id="9"/>
    <w:p>
      <w:pPr>
        <w:spacing w:after="0"/>
        <w:ind w:left="0"/>
        <w:jc w:val="both"/>
      </w:pPr>
      <w:r>
        <w:rPr>
          <w:rFonts w:ascii="Times New Roman"/>
          <w:b w:val="false"/>
          <w:i w:val="false"/>
          <w:color w:val="000000"/>
          <w:sz w:val="28"/>
        </w:rPr>
        <w:t>
      2) клиринг – процесс определения, проверки и передачи информации о требованиях и (или) обязательствах членов товарной биржи в результате заключения биржевых сделок, в том числе в результате осуществления неттинга обязательств, и подготовка документов (информации), являющихся основанием прекращения и (или) исполнения таких обязательств;</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уполномоченный орган – уполномоченный государственный орган в сфере товарных бирж.</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в редакции приказа Министра торговли и интеграции РК от 03.09.2019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приказом Министра торговли и интеграции РК от 03.09.2019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10"/>
    <w:p>
      <w:pPr>
        <w:spacing w:after="0"/>
        <w:ind w:left="0"/>
        <w:jc w:val="both"/>
      </w:pPr>
      <w:r>
        <w:rPr>
          <w:rFonts w:ascii="Times New Roman"/>
          <w:b w:val="false"/>
          <w:i w:val="false"/>
          <w:color w:val="000000"/>
          <w:sz w:val="28"/>
        </w:rPr>
        <w:t>
      4. Клиринговый центр товарной биржи осуществляет клиринговое обслуживание одной или нескольких товарных бирж, электронных торговых площадок, а также внебиржевых сделок.</w:t>
      </w:r>
    </w:p>
    <w:bookmarkEnd w:id="10"/>
    <w:p>
      <w:pPr>
        <w:spacing w:after="0"/>
        <w:ind w:left="0"/>
        <w:jc w:val="both"/>
      </w:pPr>
      <w:r>
        <w:rPr>
          <w:rFonts w:ascii="Times New Roman"/>
          <w:b w:val="false"/>
          <w:i w:val="false"/>
          <w:color w:val="000000"/>
          <w:sz w:val="28"/>
        </w:rPr>
        <w:t>
      Не допускается клиринговое обслуживание товарной биржи несколькими клиринговыми центрами.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8" w:id="11"/>
    <w:p>
      <w:pPr>
        <w:spacing w:after="0"/>
        <w:ind w:left="0"/>
        <w:jc w:val="left"/>
      </w:pPr>
      <w:r>
        <w:rPr>
          <w:rFonts w:ascii="Times New Roman"/>
          <w:b/>
          <w:i w:val="false"/>
          <w:color w:val="000000"/>
        </w:rPr>
        <w:t xml:space="preserve"> Глава 2. Осуществление клиринговой деятельности</w:t>
      </w:r>
    </w:p>
    <w:bookmarkEnd w:id="11"/>
    <w:p>
      <w:pPr>
        <w:spacing w:after="0"/>
        <w:ind w:left="0"/>
        <w:jc w:val="both"/>
      </w:pPr>
      <w:r>
        <w:rPr>
          <w:rFonts w:ascii="Times New Roman"/>
          <w:b w:val="false"/>
          <w:i w:val="false"/>
          <w:color w:val="ff0000"/>
          <w:sz w:val="28"/>
        </w:rPr>
        <w:t xml:space="preserve">
      Сноска. Заголовок главы 2 в редакции приказа Министра торговли и интеграции РК от 03.09.2019 </w:t>
      </w:r>
      <w:r>
        <w:rPr>
          <w:rFonts w:ascii="Times New Roman"/>
          <w:b w:val="false"/>
          <w:i w:val="false"/>
          <w:color w:val="ff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 w:id="12"/>
    <w:p>
      <w:pPr>
        <w:spacing w:after="0"/>
        <w:ind w:left="0"/>
        <w:jc w:val="both"/>
      </w:pPr>
      <w:r>
        <w:rPr>
          <w:rFonts w:ascii="Times New Roman"/>
          <w:b w:val="false"/>
          <w:i w:val="false"/>
          <w:color w:val="000000"/>
          <w:sz w:val="28"/>
        </w:rPr>
        <w:t>
      5. Для осуществления клиринговой деятельности по биржевым сделкам товарная биржа заключает договор о клиринговом обслуживании с клиринговой организацией.</w:t>
      </w:r>
    </w:p>
    <w:bookmarkEnd w:id="12"/>
    <w:p>
      <w:pPr>
        <w:spacing w:after="0"/>
        <w:ind w:left="0"/>
        <w:jc w:val="both"/>
      </w:pPr>
      <w:r>
        <w:rPr>
          <w:rFonts w:ascii="Times New Roman"/>
          <w:b w:val="false"/>
          <w:i w:val="false"/>
          <w:color w:val="000000"/>
          <w:sz w:val="28"/>
        </w:rPr>
        <w:t>
      Проведение аккредитации участников биржевой торговли клиринговой организацией не допускается.</w:t>
      </w:r>
    </w:p>
    <w:p>
      <w:pPr>
        <w:spacing w:after="0"/>
        <w:ind w:left="0"/>
        <w:jc w:val="both"/>
      </w:pPr>
      <w:r>
        <w:rPr>
          <w:rFonts w:ascii="Times New Roman"/>
          <w:b w:val="false"/>
          <w:i w:val="false"/>
          <w:color w:val="000000"/>
          <w:sz w:val="28"/>
        </w:rPr>
        <w:t>
      Для осуществления расчетов по сделкам, заключенным на биржевых торгах клиринговая организация заключает договор о клиринговом обслуживании с участником биржевой торговли в течение 3 (трех) рабочих дней.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3"/>
    <w:p>
      <w:pPr>
        <w:spacing w:after="0"/>
        <w:ind w:left="0"/>
        <w:jc w:val="both"/>
      </w:pPr>
      <w:r>
        <w:rPr>
          <w:rFonts w:ascii="Times New Roman"/>
          <w:b w:val="false"/>
          <w:i w:val="false"/>
          <w:color w:val="000000"/>
          <w:sz w:val="28"/>
        </w:rPr>
        <w:t xml:space="preserve">
      6. Договор товарной биржи с клиринговой организацией содержит условия о порядке взаимодействия сторон, обмене информацией, совершении процедур в процессе осуществления биржевой торговли. </w:t>
      </w:r>
    </w:p>
    <w:bookmarkEnd w:id="13"/>
    <w:bookmarkStart w:name="z21" w:id="14"/>
    <w:p>
      <w:pPr>
        <w:spacing w:after="0"/>
        <w:ind w:left="0"/>
        <w:jc w:val="both"/>
      </w:pPr>
      <w:r>
        <w:rPr>
          <w:rFonts w:ascii="Times New Roman"/>
          <w:b w:val="false"/>
          <w:i w:val="false"/>
          <w:color w:val="000000"/>
          <w:sz w:val="28"/>
        </w:rPr>
        <w:t>
      7. В целях осуществления клиринга, расчетов и учета обязательств по биржевым сделкам клиринговый центр товарной биржи заключает с расчетной организацией соответствующий договор о порядке взаимодействия при проведении биржевых торгов и (или) осуществлении расчетов по сделкам, заключенным на биржевых торгах.</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в редакции приказа Министра торговли и интеграции РК от 03.09.2019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15"/>
    <w:p>
      <w:pPr>
        <w:spacing w:after="0"/>
        <w:ind w:left="0"/>
        <w:jc w:val="both"/>
      </w:pPr>
      <w:r>
        <w:rPr>
          <w:rFonts w:ascii="Times New Roman"/>
          <w:b w:val="false"/>
          <w:i w:val="false"/>
          <w:color w:val="000000"/>
          <w:sz w:val="28"/>
        </w:rPr>
        <w:t>
      7-1. После заключения договора, указанного в пункте 7 настоящих Правил, расчеты по сделкам, заключенным на биржевых торгах, учитываются в клиринговом регистре учета денежных средств.</w:t>
      </w:r>
    </w:p>
    <w:bookmarkEnd w:id="15"/>
    <w:bookmarkStart w:name="z23" w:id="16"/>
    <w:p>
      <w:pPr>
        <w:spacing w:after="0"/>
        <w:ind w:left="0"/>
        <w:jc w:val="both"/>
      </w:pPr>
      <w:r>
        <w:rPr>
          <w:rFonts w:ascii="Times New Roman"/>
          <w:b w:val="false"/>
          <w:i w:val="false"/>
          <w:color w:val="000000"/>
          <w:sz w:val="28"/>
        </w:rPr>
        <w:t>
      Денежные средства члена товарной биржи, зачисленные на текущий счет клирингового центра товарной биржи в расчетной организации, отражаются клиринговым центром товарной биржи в клиринговом регистре учета денежных средств не позднее одного рабочего дня со дня их зачисления.</w:t>
      </w:r>
    </w:p>
    <w:bookmarkEnd w:id="16"/>
    <w:bookmarkStart w:name="z24" w:id="17"/>
    <w:p>
      <w:pPr>
        <w:spacing w:after="0"/>
        <w:ind w:left="0"/>
        <w:jc w:val="both"/>
      </w:pPr>
      <w:r>
        <w:rPr>
          <w:rFonts w:ascii="Times New Roman"/>
          <w:b w:val="false"/>
          <w:i w:val="false"/>
          <w:color w:val="000000"/>
          <w:sz w:val="28"/>
        </w:rPr>
        <w:t>
      Клиринговый центр товарной биржи не распоряжается денежными средствами, внесенными членами товарной биржи в качестве биржевого обеспечения, за исключением случаев перечисления суммы биржевого обеспечения, виновной стороны в пользу пострадавшей стороны.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7-1 в соответствии с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 в редакции приказа Министра торговли и интеграции РК от 22.09.2026 </w:t>
      </w:r>
      <w:r>
        <w:rPr>
          <w:rFonts w:ascii="Times New Roman"/>
          <w:b w:val="false"/>
          <w:i w:val="false"/>
          <w:color w:val="ff0000"/>
          <w:sz w:val="28"/>
        </w:rPr>
        <w:t>№ 264-НҚ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18"/>
    <w:p>
      <w:pPr>
        <w:spacing w:after="0"/>
        <w:ind w:left="0"/>
        <w:jc w:val="both"/>
      </w:pPr>
      <w:r>
        <w:rPr>
          <w:rFonts w:ascii="Times New Roman"/>
          <w:b w:val="false"/>
          <w:i w:val="false"/>
          <w:color w:val="000000"/>
          <w:sz w:val="28"/>
        </w:rPr>
        <w:t>
      7-2. Для клирингового обслуживания биржевых сделок клиринговый центр товарной биржи открывает каждому участнику биржевых торгов торговые счета с раздельными регистрами по учету биржевого обеспечения и денег, внесенных для оплаты товара по биржевой сделке.</w:t>
      </w:r>
    </w:p>
    <w:bookmarkEnd w:id="18"/>
    <w:bookmarkStart w:name="z53" w:id="19"/>
    <w:p>
      <w:pPr>
        <w:spacing w:after="0"/>
        <w:ind w:left="0"/>
        <w:jc w:val="both"/>
      </w:pPr>
      <w:r>
        <w:rPr>
          <w:rFonts w:ascii="Times New Roman"/>
          <w:b w:val="false"/>
          <w:i w:val="false"/>
          <w:color w:val="000000"/>
          <w:sz w:val="28"/>
        </w:rPr>
        <w:t>
      Деньги участников биржевых торгов подлежат хранению на отдельном банковском счете клирингового центра товарной биржи.</w:t>
      </w:r>
    </w:p>
    <w:bookmarkEnd w:id="19"/>
    <w:bookmarkStart w:name="z54" w:id="20"/>
    <w:p>
      <w:pPr>
        <w:spacing w:after="0"/>
        <w:ind w:left="0"/>
        <w:jc w:val="both"/>
      </w:pPr>
      <w:r>
        <w:rPr>
          <w:rFonts w:ascii="Times New Roman"/>
          <w:b w:val="false"/>
          <w:i w:val="false"/>
          <w:color w:val="000000"/>
          <w:sz w:val="28"/>
        </w:rPr>
        <w:t>
      Клиринговый центр товарной биржи ведет раздельный учет денег брокера и его клиентов.</w:t>
      </w:r>
    </w:p>
    <w:bookmarkEnd w:id="20"/>
    <w:bookmarkStart w:name="z55" w:id="21"/>
    <w:p>
      <w:pPr>
        <w:spacing w:after="0"/>
        <w:ind w:left="0"/>
        <w:jc w:val="both"/>
      </w:pPr>
      <w:r>
        <w:rPr>
          <w:rFonts w:ascii="Times New Roman"/>
          <w:b w:val="false"/>
          <w:i w:val="false"/>
          <w:color w:val="000000"/>
          <w:sz w:val="28"/>
        </w:rPr>
        <w:t>
      Клиринговый центр товарной биржи ведет учет заблокированного биржевого обеспечения по каждой совершенной сделке.</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7-2 в соответствии с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58" w:id="22"/>
    <w:p>
      <w:pPr>
        <w:spacing w:after="0"/>
        <w:ind w:left="0"/>
        <w:jc w:val="both"/>
      </w:pPr>
      <w:r>
        <w:rPr>
          <w:rFonts w:ascii="Times New Roman"/>
          <w:b w:val="false"/>
          <w:i w:val="false"/>
          <w:color w:val="000000"/>
          <w:sz w:val="28"/>
        </w:rPr>
        <w:t>
      7-3. При наличии заявления, подписанного сторонами биржевой сделки об отсутствии взаимных требований по такой биржевой сделке либо ее части и согласии на возврат биржевого обеспечения, либо ее части, клиринговый центр товарной биржи осуществляет возврат биржевого обеспечения до истечения срока исполнения обязательств по биржевой сделке не позднее трех рабочих дней со дня получения указанного заявления.</w:t>
      </w:r>
    </w:p>
    <w:bookmarkEnd w:id="22"/>
    <w:p>
      <w:pPr>
        <w:spacing w:after="0"/>
        <w:ind w:left="0"/>
        <w:jc w:val="both"/>
      </w:pPr>
      <w:r>
        <w:rPr>
          <w:rFonts w:ascii="Times New Roman"/>
          <w:b w:val="false"/>
          <w:i w:val="false"/>
          <w:color w:val="000000"/>
          <w:sz w:val="28"/>
        </w:rPr>
        <w:t>
      Возврат биржевого обеспечения, в соответствии с настоящим пунктом, не влечет прекращения или изменения обязательств сторон по биржевой сделке.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7-3 в соответствии с приказом Министра торговли и интеграции РК от 22.09.2026 </w:t>
      </w:r>
      <w:r>
        <w:rPr>
          <w:rFonts w:ascii="Times New Roman"/>
          <w:b w:val="false"/>
          <w:i w:val="false"/>
          <w:color w:val="ff0000"/>
          <w:sz w:val="28"/>
        </w:rPr>
        <w:t>№ 264-НҚ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23"/>
    <w:p>
      <w:pPr>
        <w:spacing w:after="0"/>
        <w:ind w:left="0"/>
        <w:jc w:val="both"/>
      </w:pPr>
      <w:r>
        <w:rPr>
          <w:rFonts w:ascii="Times New Roman"/>
          <w:b w:val="false"/>
          <w:i w:val="false"/>
          <w:color w:val="000000"/>
          <w:sz w:val="28"/>
        </w:rPr>
        <w:t>
      7-4. Денежные средства, зачисленные на текущий счет клирингового центра товарной биржи в расчетной организации в счет исполнения денежных обязательств покупателя по биржевой сделке, подлежат перечислению клиринговым центром товарной биржи продавцу не позднее одного рабочего дня со дня их зачисления.</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7-4 в соответствии с приказом Министра торговли и интеграции РК от 22.09.2026 </w:t>
      </w:r>
      <w:r>
        <w:rPr>
          <w:rFonts w:ascii="Times New Roman"/>
          <w:b w:val="false"/>
          <w:i w:val="false"/>
          <w:color w:val="ff0000"/>
          <w:sz w:val="28"/>
        </w:rPr>
        <w:t>№ 264-НҚ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24"/>
    <w:p>
      <w:pPr>
        <w:spacing w:after="0"/>
        <w:ind w:left="0"/>
        <w:jc w:val="both"/>
      </w:pPr>
      <w:r>
        <w:rPr>
          <w:rFonts w:ascii="Times New Roman"/>
          <w:b w:val="false"/>
          <w:i w:val="false"/>
          <w:color w:val="000000"/>
          <w:sz w:val="28"/>
        </w:rPr>
        <w:t xml:space="preserve">
      8. В зависимости от биржевых сделок, по которым осуществляется клиринговая деятельность, клиринговые центры выполняют функции, определенные </w:t>
      </w:r>
      <w:r>
        <w:rPr>
          <w:rFonts w:ascii="Times New Roman"/>
          <w:b w:val="false"/>
          <w:i w:val="false"/>
          <w:color w:val="000000"/>
          <w:sz w:val="28"/>
        </w:rPr>
        <w:t>пунктом 6</w:t>
      </w:r>
      <w:r>
        <w:rPr>
          <w:rFonts w:ascii="Times New Roman"/>
          <w:b w:val="false"/>
          <w:i w:val="false"/>
          <w:color w:val="000000"/>
          <w:sz w:val="28"/>
        </w:rPr>
        <w:t xml:space="preserve"> статьи 17 Закона.</w:t>
      </w:r>
    </w:p>
    <w:bookmarkEnd w:id="24"/>
    <w:bookmarkStart w:name="z23" w:id="25"/>
    <w:p>
      <w:pPr>
        <w:spacing w:after="0"/>
        <w:ind w:left="0"/>
        <w:jc w:val="both"/>
      </w:pPr>
      <w:r>
        <w:rPr>
          <w:rFonts w:ascii="Times New Roman"/>
          <w:b w:val="false"/>
          <w:i w:val="false"/>
          <w:color w:val="000000"/>
          <w:sz w:val="28"/>
        </w:rPr>
        <w:t>
      9. Для выполнения своих функций клиринговый центр осуществляет сбор, обработку и хранение информации по биржевым сделкам, по которым клиринговый центр осуществляет клиринговое обслуживание, ее сверку и корректировку при наличии расхождений.</w:t>
      </w:r>
    </w:p>
    <w:bookmarkEnd w:id="25"/>
    <w:bookmarkStart w:name="z24" w:id="26"/>
    <w:p>
      <w:pPr>
        <w:spacing w:after="0"/>
        <w:ind w:left="0"/>
        <w:jc w:val="both"/>
      </w:pPr>
      <w:r>
        <w:rPr>
          <w:rFonts w:ascii="Times New Roman"/>
          <w:b w:val="false"/>
          <w:i w:val="false"/>
          <w:color w:val="000000"/>
          <w:sz w:val="28"/>
        </w:rPr>
        <w:t>
      10. Клиринговый центр осуществляет хранение информации и документов, связанных с клиринговой деятельностью, и ежедневное резервное копирование такой информации.</w:t>
      </w:r>
    </w:p>
    <w:bookmarkEnd w:id="26"/>
    <w:p>
      <w:pPr>
        <w:spacing w:after="0"/>
        <w:ind w:left="0"/>
        <w:jc w:val="both"/>
      </w:pPr>
      <w:r>
        <w:rPr>
          <w:rFonts w:ascii="Times New Roman"/>
          <w:b w:val="false"/>
          <w:i w:val="false"/>
          <w:color w:val="000000"/>
          <w:sz w:val="28"/>
        </w:rPr>
        <w:t>
      Резервные копии подлежат защите от несанкционированного доступа к информации и хранятся в резервном техническом центре клирингового центра до их замены обновленными резервными копиями.</w:t>
      </w:r>
    </w:p>
    <w:bookmarkStart w:name="z25" w:id="27"/>
    <w:p>
      <w:pPr>
        <w:spacing w:after="0"/>
        <w:ind w:left="0"/>
        <w:jc w:val="both"/>
      </w:pPr>
      <w:r>
        <w:rPr>
          <w:rFonts w:ascii="Times New Roman"/>
          <w:b w:val="false"/>
          <w:i w:val="false"/>
          <w:color w:val="000000"/>
          <w:sz w:val="28"/>
        </w:rPr>
        <w:t>
      11. Клиринговый центр товарной биржи обеспечивает постоянную готовность резервного технического центра к немедленной активизации. Резервный технический центр соответствует следующим требованиям:</w:t>
      </w:r>
    </w:p>
    <w:bookmarkEnd w:id="27"/>
    <w:bookmarkStart w:name="z38" w:id="28"/>
    <w:p>
      <w:pPr>
        <w:spacing w:after="0"/>
        <w:ind w:left="0"/>
        <w:jc w:val="both"/>
      </w:pPr>
      <w:r>
        <w:rPr>
          <w:rFonts w:ascii="Times New Roman"/>
          <w:b w:val="false"/>
          <w:i w:val="false"/>
          <w:color w:val="000000"/>
          <w:sz w:val="28"/>
        </w:rPr>
        <w:t>
      1) содержит резервные копии информации, связанной с клиринговой деятельностью, идентичные основной информации;</w:t>
      </w:r>
    </w:p>
    <w:bookmarkEnd w:id="28"/>
    <w:bookmarkStart w:name="z39" w:id="29"/>
    <w:p>
      <w:pPr>
        <w:spacing w:after="0"/>
        <w:ind w:left="0"/>
        <w:jc w:val="both"/>
      </w:pPr>
      <w:r>
        <w:rPr>
          <w:rFonts w:ascii="Times New Roman"/>
          <w:b w:val="false"/>
          <w:i w:val="false"/>
          <w:color w:val="000000"/>
          <w:sz w:val="28"/>
        </w:rPr>
        <w:t>
      2) содержит копию программно-технического обеспечения клирингового центра товарной биржи, используемого в процессе осуществления клиринговой деятельности по биржевым сделкам;</w:t>
      </w:r>
    </w:p>
    <w:bookmarkEnd w:id="29"/>
    <w:bookmarkStart w:name="z40" w:id="30"/>
    <w:p>
      <w:pPr>
        <w:spacing w:after="0"/>
        <w:ind w:left="0"/>
        <w:jc w:val="both"/>
      </w:pPr>
      <w:r>
        <w:rPr>
          <w:rFonts w:ascii="Times New Roman"/>
          <w:b w:val="false"/>
          <w:i w:val="false"/>
          <w:color w:val="000000"/>
          <w:sz w:val="28"/>
        </w:rPr>
        <w:t>
      3) обеспечивается коммуникациями, необходимыми для осуществления деятельности клирингового центра товарной биржи;</w:t>
      </w:r>
    </w:p>
    <w:bookmarkEnd w:id="30"/>
    <w:p>
      <w:pPr>
        <w:spacing w:after="0"/>
        <w:ind w:left="0"/>
        <w:jc w:val="both"/>
      </w:pPr>
      <w:r>
        <w:rPr>
          <w:rFonts w:ascii="Times New Roman"/>
          <w:b w:val="false"/>
          <w:i w:val="false"/>
          <w:color w:val="000000"/>
          <w:sz w:val="28"/>
        </w:rPr>
        <w:t>
      4) при невозможности осуществления клиринга по месту нахождения клирингового центра товарной биржи представляет возможность осуществления клиринга не позднее, чем на следующий рабочий день после возникновения данной ситуации.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в редакции приказа Министра торговли и интеграции РК от 03.09.2019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bookmarkStart w:name="z26" w:id="31"/>
    <w:p>
      <w:pPr>
        <w:spacing w:after="0"/>
        <w:ind w:left="0"/>
        <w:jc w:val="left"/>
      </w:pPr>
      <w:r>
        <w:rPr>
          <w:rFonts w:ascii="Times New Roman"/>
          <w:b/>
          <w:i w:val="false"/>
          <w:color w:val="000000"/>
        </w:rPr>
        <w:t xml:space="preserve"> Глава 3. Раскрытие и сохранность информации клиринговым центром</w:t>
      </w:r>
    </w:p>
    <w:bookmarkEnd w:id="31"/>
    <w:p>
      <w:pPr>
        <w:spacing w:after="0"/>
        <w:ind w:left="0"/>
        <w:jc w:val="both"/>
      </w:pPr>
      <w:r>
        <w:rPr>
          <w:rFonts w:ascii="Times New Roman"/>
          <w:b w:val="false"/>
          <w:i w:val="false"/>
          <w:color w:val="ff0000"/>
          <w:sz w:val="28"/>
        </w:rPr>
        <w:t xml:space="preserve">
      Сноска. Заголовок главы 3 в редакции приказа Министра торговли и интеграции РК от 03.09.2019 </w:t>
      </w:r>
      <w:r>
        <w:rPr>
          <w:rFonts w:ascii="Times New Roman"/>
          <w:b w:val="false"/>
          <w:i w:val="false"/>
          <w:color w:val="ff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7" w:id="32"/>
    <w:p>
      <w:pPr>
        <w:spacing w:after="0"/>
        <w:ind w:left="0"/>
        <w:jc w:val="both"/>
      </w:pPr>
      <w:r>
        <w:rPr>
          <w:rFonts w:ascii="Times New Roman"/>
          <w:b w:val="false"/>
          <w:i w:val="false"/>
          <w:color w:val="000000"/>
          <w:sz w:val="28"/>
        </w:rPr>
        <w:t>
      12. Клиринговый центр товарной биржи обеспечивает раскрытие информации о своей деятельности и свободный доступ к ознакомлению с информацией, не составляющей коммерческую тайну, всем заинтересованным лицам путем публикации (размещения) на постоянной основе указанной информации в средствах массовой информации.</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в редакции приказа Министра торговли и интеграции РК от 03.09.2019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33"/>
    <w:p>
      <w:pPr>
        <w:spacing w:after="0"/>
        <w:ind w:left="0"/>
        <w:jc w:val="both"/>
      </w:pPr>
      <w:r>
        <w:rPr>
          <w:rFonts w:ascii="Times New Roman"/>
          <w:b w:val="false"/>
          <w:i w:val="false"/>
          <w:color w:val="000000"/>
          <w:sz w:val="28"/>
        </w:rPr>
        <w:t>
      13. На интернет-ресурсе клиринговой организации или обслуживаемой ею товарной биржи обеспечивается раскрытие следующей информации:</w:t>
      </w:r>
    </w:p>
    <w:bookmarkEnd w:id="33"/>
    <w:p>
      <w:pPr>
        <w:spacing w:after="0"/>
        <w:ind w:left="0"/>
        <w:jc w:val="both"/>
      </w:pPr>
      <w:r>
        <w:rPr>
          <w:rFonts w:ascii="Times New Roman"/>
          <w:b w:val="false"/>
          <w:i w:val="false"/>
          <w:color w:val="000000"/>
          <w:sz w:val="28"/>
        </w:rPr>
        <w:t>
      1) общей информации о клиринговой организации (состав органов клиринговой организации, фамилии, имена, при наличии отчества руководящих работников клиринговой организации, место нахождения клиринговой организации, контактные телефоны);</w:t>
      </w:r>
    </w:p>
    <w:p>
      <w:pPr>
        <w:spacing w:after="0"/>
        <w:ind w:left="0"/>
        <w:jc w:val="both"/>
      </w:pPr>
      <w:r>
        <w:rPr>
          <w:rFonts w:ascii="Times New Roman"/>
          <w:b w:val="false"/>
          <w:i w:val="false"/>
          <w:color w:val="000000"/>
          <w:sz w:val="28"/>
        </w:rPr>
        <w:t>
      2) учредительных документов клиринговой организации;</w:t>
      </w:r>
    </w:p>
    <w:p>
      <w:pPr>
        <w:spacing w:after="0"/>
        <w:ind w:left="0"/>
        <w:jc w:val="both"/>
      </w:pPr>
      <w:r>
        <w:rPr>
          <w:rFonts w:ascii="Times New Roman"/>
          <w:b w:val="false"/>
          <w:i w:val="false"/>
          <w:color w:val="000000"/>
          <w:sz w:val="28"/>
        </w:rPr>
        <w:t>
      3) годовой финансовой отчетности клиринговой организации, включая финансовую отчетность, подтвержденную аудиторской организацией, и аудиторского отчета;</w:t>
      </w:r>
    </w:p>
    <w:p>
      <w:pPr>
        <w:spacing w:after="0"/>
        <w:ind w:left="0"/>
        <w:jc w:val="both"/>
      </w:pPr>
      <w:r>
        <w:rPr>
          <w:rFonts w:ascii="Times New Roman"/>
          <w:b w:val="false"/>
          <w:i w:val="false"/>
          <w:color w:val="000000"/>
          <w:sz w:val="28"/>
        </w:rPr>
        <w:t>
      4) наименование товарных бирж, обслуживаемых клиринговой организацией;</w:t>
      </w:r>
    </w:p>
    <w:p>
      <w:pPr>
        <w:spacing w:after="0"/>
        <w:ind w:left="0"/>
        <w:jc w:val="both"/>
      </w:pPr>
      <w:r>
        <w:rPr>
          <w:rFonts w:ascii="Times New Roman"/>
          <w:b w:val="false"/>
          <w:i w:val="false"/>
          <w:color w:val="000000"/>
          <w:sz w:val="28"/>
        </w:rPr>
        <w:t>
      5) наименование расчетной(ых) организации(ий), в которой(ых) обслуживается товарная биржа/клиринговая организация.</w:t>
      </w:r>
    </w:p>
    <w:bookmarkStart w:name="z29" w:id="34"/>
    <w:p>
      <w:pPr>
        <w:spacing w:after="0"/>
        <w:ind w:left="0"/>
        <w:jc w:val="both"/>
      </w:pPr>
      <w:r>
        <w:rPr>
          <w:rFonts w:ascii="Times New Roman"/>
          <w:b w:val="false"/>
          <w:i w:val="false"/>
          <w:color w:val="000000"/>
          <w:sz w:val="28"/>
        </w:rPr>
        <w:t>
      14. Клиринговый центр соблюдает конфиденциальность следующей информации:</w:t>
      </w:r>
    </w:p>
    <w:bookmarkEnd w:id="34"/>
    <w:p>
      <w:pPr>
        <w:spacing w:after="0"/>
        <w:ind w:left="0"/>
        <w:jc w:val="both"/>
      </w:pPr>
      <w:r>
        <w:rPr>
          <w:rFonts w:ascii="Times New Roman"/>
          <w:b w:val="false"/>
          <w:i w:val="false"/>
          <w:color w:val="000000"/>
          <w:sz w:val="28"/>
        </w:rPr>
        <w:t>
      1) о суммах денег и прочих обязательств, учитываемых на клиринговых регистрах учета члена товарной биржи, в том числе о задолженности члена товарной биржи;</w:t>
      </w:r>
    </w:p>
    <w:p>
      <w:pPr>
        <w:spacing w:after="0"/>
        <w:ind w:left="0"/>
        <w:jc w:val="both"/>
      </w:pPr>
      <w:r>
        <w:rPr>
          <w:rFonts w:ascii="Times New Roman"/>
          <w:b w:val="false"/>
          <w:i w:val="false"/>
          <w:color w:val="000000"/>
          <w:sz w:val="28"/>
        </w:rPr>
        <w:t>
      2) о поручениях и иных документах, поданных членом товарной биржи клиринговому центру или в расчетную организацию;</w:t>
      </w:r>
    </w:p>
    <w:p>
      <w:pPr>
        <w:spacing w:after="0"/>
        <w:ind w:left="0"/>
        <w:jc w:val="both"/>
      </w:pPr>
      <w:r>
        <w:rPr>
          <w:rFonts w:ascii="Times New Roman"/>
          <w:b w:val="false"/>
          <w:i w:val="false"/>
          <w:color w:val="000000"/>
          <w:sz w:val="28"/>
        </w:rPr>
        <w:t>
      3) об учитываемых клиринговым центром обязательствах членов товарной биржи и обязательствах клирингового центра перед членами товарной биржи;</w:t>
      </w:r>
    </w:p>
    <w:p>
      <w:pPr>
        <w:spacing w:after="0"/>
        <w:ind w:left="0"/>
        <w:jc w:val="both"/>
      </w:pPr>
      <w:r>
        <w:rPr>
          <w:rFonts w:ascii="Times New Roman"/>
          <w:b w:val="false"/>
          <w:i w:val="false"/>
          <w:color w:val="000000"/>
          <w:sz w:val="28"/>
        </w:rPr>
        <w:t>
      4) о биржевых сделках, стороной которых является член товарной биржи.</w:t>
      </w:r>
    </w:p>
    <w:p>
      <w:pPr>
        <w:spacing w:after="0"/>
        <w:ind w:left="0"/>
        <w:jc w:val="both"/>
      </w:pPr>
      <w:r>
        <w:rPr>
          <w:rFonts w:ascii="Times New Roman"/>
          <w:b w:val="false"/>
          <w:i w:val="false"/>
          <w:color w:val="000000"/>
          <w:sz w:val="28"/>
        </w:rPr>
        <w:t xml:space="preserve">
      Клиринговый центр раскрывает данную информацию государственным органам, уполномоченным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на получение сведений, составляющих коммерческую тайну, на основании их письменных запросов.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56" w:id="35"/>
    <w:p>
      <w:pPr>
        <w:spacing w:after="0"/>
        <w:ind w:left="0"/>
        <w:jc w:val="both"/>
      </w:pPr>
      <w:r>
        <w:rPr>
          <w:rFonts w:ascii="Times New Roman"/>
          <w:b w:val="false"/>
          <w:i w:val="false"/>
          <w:color w:val="000000"/>
          <w:sz w:val="28"/>
        </w:rPr>
        <w:t>
      14-1. Клиринговый центр товарной биржи обеспечивает предоставление информации о члене товарной биржи, указанной в пункте 14 настоящих Правил, непосредственно члену товарной биржи на основании его письменного запроса. Срок предоставления данной информации не превышает трех рабочих дней с момента получения запроса.</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14-1 в соответствии с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Приложение 2 вводится в действие с 01.01.2017 в соответствии с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исполняющего обязанности</w:t>
            </w:r>
            <w:r>
              <w:br/>
            </w:r>
            <w:r>
              <w:rPr>
                <w:rFonts w:ascii="Times New Roman"/>
                <w:b w:val="false"/>
                <w:i w:val="false"/>
                <w:color w:val="000000"/>
                <w:sz w:val="20"/>
              </w:rPr>
              <w:t>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ноября 2015 года № 729</w:t>
            </w:r>
          </w:p>
        </w:tc>
      </w:tr>
    </w:tbl>
    <w:bookmarkStart w:name="z32" w:id="36"/>
    <w:p>
      <w:pPr>
        <w:spacing w:after="0"/>
        <w:ind w:left="0"/>
        <w:jc w:val="left"/>
      </w:pPr>
      <w:r>
        <w:rPr>
          <w:rFonts w:ascii="Times New Roman"/>
          <w:b/>
          <w:i w:val="false"/>
          <w:color w:val="000000"/>
        </w:rPr>
        <w:t xml:space="preserve"> Требования к аппаратно–программному комплексу</w:t>
      </w:r>
      <w:r>
        <w:br/>
      </w:r>
      <w:r>
        <w:rPr>
          <w:rFonts w:ascii="Times New Roman"/>
          <w:b/>
          <w:i w:val="false"/>
          <w:color w:val="000000"/>
        </w:rPr>
        <w:t>клирингового центра товарной биржи</w:t>
      </w:r>
      <w:r>
        <w:br/>
      </w:r>
      <w:r>
        <w:rPr>
          <w:rFonts w:ascii="Times New Roman"/>
          <w:b/>
          <w:i w:val="false"/>
          <w:color w:val="000000"/>
        </w:rPr>
        <w:t>Глава 1. Общие положения</w:t>
      </w:r>
    </w:p>
    <w:bookmarkEnd w:id="36"/>
    <w:p>
      <w:pPr>
        <w:spacing w:after="0"/>
        <w:ind w:left="0"/>
        <w:jc w:val="both"/>
      </w:pPr>
      <w:r>
        <w:rPr>
          <w:rFonts w:ascii="Times New Roman"/>
          <w:b w:val="false"/>
          <w:i w:val="false"/>
          <w:color w:val="ff0000"/>
          <w:sz w:val="28"/>
        </w:rPr>
        <w:t xml:space="preserve">
      Сноска. Заголовок главы 1 в редакции приказа Министра торговли и интеграции РК от 03.09.2019 </w:t>
      </w:r>
      <w:r>
        <w:rPr>
          <w:rFonts w:ascii="Times New Roman"/>
          <w:b w:val="false"/>
          <w:i w:val="false"/>
          <w:color w:val="ff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4" w:id="37"/>
    <w:p>
      <w:pPr>
        <w:spacing w:after="0"/>
        <w:ind w:left="0"/>
        <w:jc w:val="both"/>
      </w:pPr>
      <w:r>
        <w:rPr>
          <w:rFonts w:ascii="Times New Roman"/>
          <w:b w:val="false"/>
          <w:i w:val="false"/>
          <w:color w:val="000000"/>
          <w:sz w:val="28"/>
        </w:rPr>
        <w:t xml:space="preserve">
      1. Настоящие Требования к аппаратно–программному комплексу клирингового центра товарной биржи (далее – Требования)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4 мая 2009 года "О товарных биржах" и определяют требования к аппаратно–программному комплексу клирингового центра товарной биржи.</w:t>
      </w:r>
    </w:p>
    <w:bookmarkEnd w:id="37"/>
    <w:bookmarkStart w:name="z35" w:id="38"/>
    <w:p>
      <w:pPr>
        <w:spacing w:after="0"/>
        <w:ind w:left="0"/>
        <w:jc w:val="both"/>
      </w:pPr>
      <w:r>
        <w:rPr>
          <w:rFonts w:ascii="Times New Roman"/>
          <w:b w:val="false"/>
          <w:i w:val="false"/>
          <w:color w:val="000000"/>
          <w:sz w:val="28"/>
        </w:rPr>
        <w:t xml:space="preserve">
      2. Настоящие Требования не распространяются на клиринговую деятельность по фьючерсным и опционным сделкам, порядок осуществления которой регулируется законодательством Республики Казахстан о рынке ценных бумаг. </w:t>
      </w:r>
    </w:p>
    <w:bookmarkEnd w:id="38"/>
    <w:bookmarkStart w:name="z36" w:id="39"/>
    <w:p>
      <w:pPr>
        <w:spacing w:after="0"/>
        <w:ind w:left="0"/>
        <w:jc w:val="left"/>
      </w:pPr>
      <w:r>
        <w:rPr>
          <w:rFonts w:ascii="Times New Roman"/>
          <w:b/>
          <w:i w:val="false"/>
          <w:color w:val="000000"/>
        </w:rPr>
        <w:t xml:space="preserve"> Глава 2. Требования к аппаратно-программному комплексу клирингового центра товарной биржи</w:t>
      </w:r>
    </w:p>
    <w:bookmarkEnd w:id="39"/>
    <w:p>
      <w:pPr>
        <w:spacing w:after="0"/>
        <w:ind w:left="0"/>
        <w:jc w:val="both"/>
      </w:pPr>
      <w:r>
        <w:rPr>
          <w:rFonts w:ascii="Times New Roman"/>
          <w:b w:val="false"/>
          <w:i w:val="false"/>
          <w:color w:val="ff0000"/>
          <w:sz w:val="28"/>
        </w:rPr>
        <w:t xml:space="preserve">
      Сноска. Заголовок главы 2 в редакции приказа Министра торговли и интеграции РК от 03.09.2019 </w:t>
      </w:r>
      <w:r>
        <w:rPr>
          <w:rFonts w:ascii="Times New Roman"/>
          <w:b w:val="false"/>
          <w:i w:val="false"/>
          <w:color w:val="ff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7" w:id="40"/>
    <w:p>
      <w:pPr>
        <w:spacing w:after="0"/>
        <w:ind w:left="0"/>
        <w:jc w:val="both"/>
      </w:pPr>
      <w:r>
        <w:rPr>
          <w:rFonts w:ascii="Times New Roman"/>
          <w:b w:val="false"/>
          <w:i w:val="false"/>
          <w:color w:val="000000"/>
          <w:sz w:val="28"/>
        </w:rPr>
        <w:t>
      3. Для осуществления клиринговой деятельности клиринговый центр имеет в пользовании аппаратно-программный комплекс, обеспечивающий автоматизацию процесса клиринговой деятельности, включая автоматизированный контроль допуска участников биржевой торговли к биржевым торгам в зависимости от суммы внесенного ими биржевого обеспечения.</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38" w:id="41"/>
    <w:p>
      <w:pPr>
        <w:spacing w:after="0"/>
        <w:ind w:left="0"/>
        <w:jc w:val="both"/>
      </w:pPr>
      <w:r>
        <w:rPr>
          <w:rFonts w:ascii="Times New Roman"/>
          <w:b w:val="false"/>
          <w:i w:val="false"/>
          <w:color w:val="000000"/>
          <w:sz w:val="28"/>
        </w:rPr>
        <w:t xml:space="preserve">
      4. Аппаратно–программный комплекс клирингового центра состоит из рабочих станций (компьютерной базы), серверного аппаратного обеспечения, программного обеспечения и обеспечивает: </w:t>
      </w:r>
    </w:p>
    <w:bookmarkEnd w:id="41"/>
    <w:p>
      <w:pPr>
        <w:spacing w:after="0"/>
        <w:ind w:left="0"/>
        <w:jc w:val="both"/>
      </w:pPr>
      <w:r>
        <w:rPr>
          <w:rFonts w:ascii="Times New Roman"/>
          <w:b w:val="false"/>
          <w:i w:val="false"/>
          <w:color w:val="000000"/>
          <w:sz w:val="28"/>
        </w:rPr>
        <w:t>
      1) надежное хранение информации, защиту от несанкционированного доступа, целостность баз данных и полную сохранность информации в электронных архивах и базах данных при:</w:t>
      </w:r>
    </w:p>
    <w:p>
      <w:pPr>
        <w:spacing w:after="0"/>
        <w:ind w:left="0"/>
        <w:jc w:val="both"/>
      </w:pPr>
      <w:r>
        <w:rPr>
          <w:rFonts w:ascii="Times New Roman"/>
          <w:b w:val="false"/>
          <w:i w:val="false"/>
          <w:color w:val="000000"/>
          <w:sz w:val="28"/>
        </w:rPr>
        <w:t>
      полном или частичном отключении электропитания на любом участке программного обеспечения в любое время;</w:t>
      </w:r>
    </w:p>
    <w:p>
      <w:pPr>
        <w:spacing w:after="0"/>
        <w:ind w:left="0"/>
        <w:jc w:val="both"/>
      </w:pPr>
      <w:r>
        <w:rPr>
          <w:rFonts w:ascii="Times New Roman"/>
          <w:b w:val="false"/>
          <w:i w:val="false"/>
          <w:color w:val="000000"/>
          <w:sz w:val="28"/>
        </w:rPr>
        <w:t>
      аварии сетей, телекоммуникаций, разрыве установленных физических и виртуальных соединений на любом этапе выполнения операции обмена данными;</w:t>
      </w:r>
    </w:p>
    <w:p>
      <w:pPr>
        <w:spacing w:after="0"/>
        <w:ind w:left="0"/>
        <w:jc w:val="both"/>
      </w:pPr>
      <w:r>
        <w:rPr>
          <w:rFonts w:ascii="Times New Roman"/>
          <w:b w:val="false"/>
          <w:i w:val="false"/>
          <w:color w:val="000000"/>
          <w:sz w:val="28"/>
        </w:rPr>
        <w:t>
      попытке несанкционированного доступа к информации программного обеспечения;</w:t>
      </w:r>
    </w:p>
    <w:p>
      <w:pPr>
        <w:spacing w:after="0"/>
        <w:ind w:left="0"/>
        <w:jc w:val="both"/>
      </w:pPr>
      <w:r>
        <w:rPr>
          <w:rFonts w:ascii="Times New Roman"/>
          <w:b w:val="false"/>
          <w:i w:val="false"/>
          <w:color w:val="000000"/>
          <w:sz w:val="28"/>
        </w:rPr>
        <w:t>
      2) многоуровневый доступ к входным данным, функциям, операциям, отчетам, реализованным в программном обеспечении. Программное обеспечение предусматривает не менее двух основных уровней доступа: "администратор" и "пользователь";</w:t>
      </w:r>
    </w:p>
    <w:p>
      <w:pPr>
        <w:spacing w:after="0"/>
        <w:ind w:left="0"/>
        <w:jc w:val="both"/>
      </w:pPr>
      <w:r>
        <w:rPr>
          <w:rFonts w:ascii="Times New Roman"/>
          <w:b w:val="false"/>
          <w:i w:val="false"/>
          <w:color w:val="000000"/>
          <w:sz w:val="28"/>
        </w:rPr>
        <w:t>
      3) контроль полноты вводимых данных (в случае выполнения функций или операций без полного заполнения всех полей программа обеспечивает выдачу соответствующего уведомления);</w:t>
      </w:r>
    </w:p>
    <w:p>
      <w:pPr>
        <w:spacing w:after="0"/>
        <w:ind w:left="0"/>
        <w:jc w:val="both"/>
      </w:pPr>
      <w:r>
        <w:rPr>
          <w:rFonts w:ascii="Times New Roman"/>
          <w:b w:val="false"/>
          <w:i w:val="false"/>
          <w:color w:val="000000"/>
          <w:sz w:val="28"/>
        </w:rPr>
        <w:t>
      4) поиск информации по индивидуальному запросу и по любым критериям, а также сортировку информации по любым параметрам и возможность просмотра информации за предыдущие даты;</w:t>
      </w:r>
    </w:p>
    <w:p>
      <w:pPr>
        <w:spacing w:after="0"/>
        <w:ind w:left="0"/>
        <w:jc w:val="both"/>
      </w:pPr>
      <w:r>
        <w:rPr>
          <w:rFonts w:ascii="Times New Roman"/>
          <w:b w:val="false"/>
          <w:i w:val="false"/>
          <w:color w:val="000000"/>
          <w:sz w:val="28"/>
        </w:rPr>
        <w:t>
      5) обработку и хранение информации по датам без сокращений;</w:t>
      </w:r>
    </w:p>
    <w:p>
      <w:pPr>
        <w:spacing w:after="0"/>
        <w:ind w:left="0"/>
        <w:jc w:val="both"/>
      </w:pPr>
      <w:r>
        <w:rPr>
          <w:rFonts w:ascii="Times New Roman"/>
          <w:b w:val="false"/>
          <w:i w:val="false"/>
          <w:color w:val="000000"/>
          <w:sz w:val="28"/>
        </w:rPr>
        <w:t>
      6) автоматизированное формирование форм отчетов, установленных нормативными правовыми актами, а также уведомлений, справок, выписок с лицевого счета, отчетов о проведенных операциях и документов, подтверждающих осуществление информационных операций;</w:t>
      </w:r>
    </w:p>
    <w:p>
      <w:pPr>
        <w:spacing w:after="0"/>
        <w:ind w:left="0"/>
        <w:jc w:val="both"/>
      </w:pPr>
      <w:r>
        <w:rPr>
          <w:rFonts w:ascii="Times New Roman"/>
          <w:b w:val="false"/>
          <w:i w:val="false"/>
          <w:color w:val="000000"/>
          <w:sz w:val="28"/>
        </w:rPr>
        <w:t>
      7) возможность архивации (восстановление данных из архива);</w:t>
      </w:r>
    </w:p>
    <w:p>
      <w:pPr>
        <w:spacing w:after="0"/>
        <w:ind w:left="0"/>
        <w:jc w:val="both"/>
      </w:pPr>
      <w:r>
        <w:rPr>
          <w:rFonts w:ascii="Times New Roman"/>
          <w:b w:val="false"/>
          <w:i w:val="false"/>
          <w:color w:val="000000"/>
          <w:sz w:val="28"/>
        </w:rPr>
        <w:t>
      8) возможность вывода выходных документов на экран, принтер или в файл;</w:t>
      </w:r>
    </w:p>
    <w:p>
      <w:pPr>
        <w:spacing w:after="0"/>
        <w:ind w:left="0"/>
        <w:jc w:val="both"/>
      </w:pPr>
      <w:r>
        <w:rPr>
          <w:rFonts w:ascii="Times New Roman"/>
          <w:b w:val="false"/>
          <w:i w:val="false"/>
          <w:color w:val="000000"/>
          <w:sz w:val="28"/>
        </w:rPr>
        <w:t>
      9) возможность обмена электронными документами;</w:t>
      </w:r>
    </w:p>
    <w:p>
      <w:pPr>
        <w:spacing w:after="0"/>
        <w:ind w:left="0"/>
        <w:jc w:val="both"/>
      </w:pPr>
      <w:r>
        <w:rPr>
          <w:rFonts w:ascii="Times New Roman"/>
          <w:b w:val="false"/>
          <w:i w:val="false"/>
          <w:color w:val="000000"/>
          <w:sz w:val="28"/>
        </w:rPr>
        <w:t>
      10) бесперебойное и непрерывное осуществление работы в случае сбоев в программном обеспечении;</w:t>
      </w:r>
    </w:p>
    <w:p>
      <w:pPr>
        <w:spacing w:after="0"/>
        <w:ind w:left="0"/>
        <w:jc w:val="both"/>
      </w:pPr>
      <w:r>
        <w:rPr>
          <w:rFonts w:ascii="Times New Roman"/>
          <w:b w:val="false"/>
          <w:i w:val="false"/>
          <w:color w:val="000000"/>
          <w:sz w:val="28"/>
        </w:rPr>
        <w:t>
      11) автоматизированный сбор, обработку и хранение информации по сделкам, по которым данная клиринговая организация осуществляет клиринговое обслуживание, ее сверку и корректировку;</w:t>
      </w:r>
    </w:p>
    <w:p>
      <w:pPr>
        <w:spacing w:after="0"/>
        <w:ind w:left="0"/>
        <w:jc w:val="both"/>
      </w:pPr>
      <w:r>
        <w:rPr>
          <w:rFonts w:ascii="Times New Roman"/>
          <w:b w:val="false"/>
          <w:i w:val="false"/>
          <w:color w:val="000000"/>
          <w:sz w:val="28"/>
        </w:rPr>
        <w:t>
      12) учет параметров всех заключенных сделок в торговой системе организатора торгов и (или) на товарной бирже, принятых на клиринговое обслуживание;</w:t>
      </w:r>
    </w:p>
    <w:p>
      <w:pPr>
        <w:spacing w:after="0"/>
        <w:ind w:left="0"/>
        <w:jc w:val="both"/>
      </w:pPr>
      <w:r>
        <w:rPr>
          <w:rFonts w:ascii="Times New Roman"/>
          <w:b w:val="false"/>
          <w:i w:val="false"/>
          <w:color w:val="000000"/>
          <w:sz w:val="28"/>
        </w:rPr>
        <w:t>
      13) формирование отчета по результатам клиринговой деятельности для членов товарной биржи;</w:t>
      </w:r>
    </w:p>
    <w:bookmarkStart w:name="z57" w:id="42"/>
    <w:p>
      <w:pPr>
        <w:spacing w:after="0"/>
        <w:ind w:left="0"/>
        <w:jc w:val="both"/>
      </w:pPr>
      <w:r>
        <w:rPr>
          <w:rFonts w:ascii="Times New Roman"/>
          <w:b w:val="false"/>
          <w:i w:val="false"/>
          <w:color w:val="000000"/>
          <w:sz w:val="28"/>
        </w:rPr>
        <w:t>
      14) автоматическое проведение следующих операций:</w:t>
      </w:r>
    </w:p>
    <w:bookmarkEnd w:id="42"/>
    <w:p>
      <w:pPr>
        <w:spacing w:after="0"/>
        <w:ind w:left="0"/>
        <w:jc w:val="both"/>
      </w:pPr>
      <w:r>
        <w:rPr>
          <w:rFonts w:ascii="Times New Roman"/>
          <w:b w:val="false"/>
          <w:i w:val="false"/>
          <w:color w:val="000000"/>
          <w:sz w:val="28"/>
        </w:rPr>
        <w:t>
      раздельный учет средств члена товарной биржи;</w:t>
      </w:r>
    </w:p>
    <w:p>
      <w:pPr>
        <w:spacing w:after="0"/>
        <w:ind w:left="0"/>
        <w:jc w:val="both"/>
      </w:pPr>
      <w:r>
        <w:rPr>
          <w:rFonts w:ascii="Times New Roman"/>
          <w:b w:val="false"/>
          <w:i w:val="false"/>
          <w:color w:val="000000"/>
          <w:sz w:val="28"/>
        </w:rPr>
        <w:t>
      блокирование средств биржевого обеспечения члена товарной биржи и снятие блокирования по результатам заключения биржевых сделок;</w:t>
      </w:r>
    </w:p>
    <w:p>
      <w:pPr>
        <w:spacing w:after="0"/>
        <w:ind w:left="0"/>
        <w:jc w:val="both"/>
      </w:pPr>
      <w:r>
        <w:rPr>
          <w:rFonts w:ascii="Times New Roman"/>
          <w:b w:val="false"/>
          <w:i w:val="false"/>
          <w:color w:val="000000"/>
          <w:sz w:val="28"/>
        </w:rPr>
        <w:t>
      допуск членов товарной биржи к торгам при наличии свободных денежных средств (не заблокированных в качестве обеспечения исполнения своих обязательств по заявкам и сделкам);</w:t>
      </w:r>
    </w:p>
    <w:p>
      <w:pPr>
        <w:spacing w:after="0"/>
        <w:ind w:left="0"/>
        <w:jc w:val="both"/>
      </w:pPr>
      <w:r>
        <w:rPr>
          <w:rFonts w:ascii="Times New Roman"/>
          <w:b w:val="false"/>
          <w:i w:val="false"/>
          <w:color w:val="000000"/>
          <w:sz w:val="28"/>
        </w:rPr>
        <w:t>
      учет биржевого обеспечения;</w:t>
      </w:r>
    </w:p>
    <w:p>
      <w:pPr>
        <w:spacing w:after="0"/>
        <w:ind w:left="0"/>
        <w:jc w:val="both"/>
      </w:pPr>
      <w:r>
        <w:rPr>
          <w:rFonts w:ascii="Times New Roman"/>
          <w:b w:val="false"/>
          <w:i w:val="false"/>
          <w:color w:val="000000"/>
          <w:sz w:val="28"/>
        </w:rPr>
        <w:t>
      15) сохранность изменяемых данных члена товарной биржи и поиск зарегистрированного лица по прежним данным;</w:t>
      </w:r>
    </w:p>
    <w:p>
      <w:pPr>
        <w:spacing w:after="0"/>
        <w:ind w:left="0"/>
        <w:jc w:val="both"/>
      </w:pPr>
      <w:r>
        <w:rPr>
          <w:rFonts w:ascii="Times New Roman"/>
          <w:b w:val="false"/>
          <w:i w:val="false"/>
          <w:color w:val="000000"/>
          <w:sz w:val="28"/>
        </w:rPr>
        <w:t>
      16) сохранность информации по всем операциям, проведенным по клиринговому регистру учета за весь период;</w:t>
      </w:r>
    </w:p>
    <w:p>
      <w:pPr>
        <w:spacing w:after="0"/>
        <w:ind w:left="0"/>
        <w:jc w:val="both"/>
      </w:pPr>
      <w:r>
        <w:rPr>
          <w:rFonts w:ascii="Times New Roman"/>
          <w:b w:val="false"/>
          <w:i w:val="false"/>
          <w:color w:val="000000"/>
          <w:sz w:val="28"/>
        </w:rPr>
        <w:t>
      17) передача информации клиентам, расчетным организациям, товарной бирже и антимонопольному органу по защищенным каналам связи с использованием электронной цифровой подписи;</w:t>
      </w:r>
    </w:p>
    <w:p>
      <w:pPr>
        <w:spacing w:after="0"/>
        <w:ind w:left="0"/>
        <w:jc w:val="both"/>
      </w:pPr>
      <w:r>
        <w:rPr>
          <w:rFonts w:ascii="Times New Roman"/>
          <w:b w:val="false"/>
          <w:i w:val="false"/>
          <w:color w:val="000000"/>
          <w:sz w:val="28"/>
        </w:rPr>
        <w:t>
      18) идентифицировать факт получения документа от лица уполномоченного отдавать приказы для совершения операций по открытому им клиринговому регистру учета;</w:t>
      </w:r>
    </w:p>
    <w:p>
      <w:pPr>
        <w:spacing w:after="0"/>
        <w:ind w:left="0"/>
        <w:jc w:val="both"/>
      </w:pPr>
      <w:r>
        <w:rPr>
          <w:rFonts w:ascii="Times New Roman"/>
          <w:b w:val="false"/>
          <w:i w:val="false"/>
          <w:color w:val="000000"/>
          <w:sz w:val="28"/>
        </w:rPr>
        <w:t>
      19) проведение операций по клиринговым регистрам учета только на основании приказов уполномоченных лиц;</w:t>
      </w:r>
    </w:p>
    <w:p>
      <w:pPr>
        <w:spacing w:after="0"/>
        <w:ind w:left="0"/>
        <w:jc w:val="both"/>
      </w:pPr>
      <w:r>
        <w:rPr>
          <w:rFonts w:ascii="Times New Roman"/>
          <w:b w:val="false"/>
          <w:i w:val="false"/>
          <w:color w:val="000000"/>
          <w:sz w:val="28"/>
        </w:rPr>
        <w:t>
      20) ведение в произвольной форме журнала аудита в процессе функционирования программного обеспечения.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изменением, внесенным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39" w:id="43"/>
    <w:p>
      <w:pPr>
        <w:spacing w:after="0"/>
        <w:ind w:left="0"/>
        <w:jc w:val="both"/>
      </w:pPr>
      <w:r>
        <w:rPr>
          <w:rFonts w:ascii="Times New Roman"/>
          <w:b w:val="false"/>
          <w:i w:val="false"/>
          <w:color w:val="000000"/>
          <w:sz w:val="28"/>
        </w:rPr>
        <w:t>
      5. Сохранность информации аппаратно–программного комплекса клирингового центра обеспечивается путем ежедневного автоматического сохранения резервной копии базы данных и системного журнала транзакций на дополнительном сервере.</w:t>
      </w:r>
    </w:p>
    <w:bookmarkEnd w:id="43"/>
    <w:bookmarkStart w:name="z40" w:id="44"/>
    <w:p>
      <w:pPr>
        <w:spacing w:after="0"/>
        <w:ind w:left="0"/>
        <w:jc w:val="both"/>
      </w:pPr>
      <w:r>
        <w:rPr>
          <w:rFonts w:ascii="Times New Roman"/>
          <w:b w:val="false"/>
          <w:i w:val="false"/>
          <w:color w:val="000000"/>
          <w:sz w:val="28"/>
        </w:rPr>
        <w:t>
      6. Защита информации клирингового центра обеспечивается основными уровнями доступа – "администратор" и "пользователь":</w:t>
      </w:r>
    </w:p>
    <w:bookmarkEnd w:id="44"/>
    <w:p>
      <w:pPr>
        <w:spacing w:after="0"/>
        <w:ind w:left="0"/>
        <w:jc w:val="both"/>
      </w:pPr>
      <w:r>
        <w:rPr>
          <w:rFonts w:ascii="Times New Roman"/>
          <w:b w:val="false"/>
          <w:i w:val="false"/>
          <w:color w:val="000000"/>
          <w:sz w:val="28"/>
        </w:rPr>
        <w:t>
      1) уровень доступа – "администратор" включает в себя:</w:t>
      </w:r>
    </w:p>
    <w:p>
      <w:pPr>
        <w:spacing w:after="0"/>
        <w:ind w:left="0"/>
        <w:jc w:val="both"/>
      </w:pPr>
      <w:r>
        <w:rPr>
          <w:rFonts w:ascii="Times New Roman"/>
          <w:b w:val="false"/>
          <w:i w:val="false"/>
          <w:color w:val="000000"/>
          <w:sz w:val="28"/>
        </w:rPr>
        <w:t>
      определение групп пользователей, разделение их на категории по выполняемым функциям и установление им уровней доступа к информации, смена паролей;</w:t>
      </w:r>
    </w:p>
    <w:p>
      <w:pPr>
        <w:spacing w:after="0"/>
        <w:ind w:left="0"/>
        <w:jc w:val="both"/>
      </w:pPr>
      <w:r>
        <w:rPr>
          <w:rFonts w:ascii="Times New Roman"/>
          <w:b w:val="false"/>
          <w:i w:val="false"/>
          <w:color w:val="000000"/>
          <w:sz w:val="28"/>
        </w:rPr>
        <w:t>
      настройка параметров функционирования программного обеспечения;</w:t>
      </w:r>
    </w:p>
    <w:p>
      <w:pPr>
        <w:spacing w:after="0"/>
        <w:ind w:left="0"/>
        <w:jc w:val="both"/>
      </w:pPr>
      <w:r>
        <w:rPr>
          <w:rFonts w:ascii="Times New Roman"/>
          <w:b w:val="false"/>
          <w:i w:val="false"/>
          <w:color w:val="000000"/>
          <w:sz w:val="28"/>
        </w:rPr>
        <w:t>
      просмотр подключенных к базе данных программного обеспечения пользователей;</w:t>
      </w:r>
    </w:p>
    <w:p>
      <w:pPr>
        <w:spacing w:after="0"/>
        <w:ind w:left="0"/>
        <w:jc w:val="both"/>
      </w:pPr>
      <w:r>
        <w:rPr>
          <w:rFonts w:ascii="Times New Roman"/>
          <w:b w:val="false"/>
          <w:i w:val="false"/>
          <w:color w:val="000000"/>
          <w:sz w:val="28"/>
        </w:rPr>
        <w:t>
      открытие (закрытие) операционного дня;</w:t>
      </w:r>
    </w:p>
    <w:p>
      <w:pPr>
        <w:spacing w:after="0"/>
        <w:ind w:left="0"/>
        <w:jc w:val="both"/>
      </w:pPr>
      <w:r>
        <w:rPr>
          <w:rFonts w:ascii="Times New Roman"/>
          <w:b w:val="false"/>
          <w:i w:val="false"/>
          <w:color w:val="000000"/>
          <w:sz w:val="28"/>
        </w:rPr>
        <w:t>
      смена рабочей даты;</w:t>
      </w:r>
    </w:p>
    <w:p>
      <w:pPr>
        <w:spacing w:after="0"/>
        <w:ind w:left="0"/>
        <w:jc w:val="both"/>
      </w:pPr>
      <w:r>
        <w:rPr>
          <w:rFonts w:ascii="Times New Roman"/>
          <w:b w:val="false"/>
          <w:i w:val="false"/>
          <w:color w:val="000000"/>
          <w:sz w:val="28"/>
        </w:rPr>
        <w:t>
      создание архивных и резервных копий на съемных носителях данных долговременного хранения;</w:t>
      </w:r>
    </w:p>
    <w:p>
      <w:pPr>
        <w:spacing w:after="0"/>
        <w:ind w:left="0"/>
        <w:jc w:val="both"/>
      </w:pPr>
      <w:r>
        <w:rPr>
          <w:rFonts w:ascii="Times New Roman"/>
          <w:b w:val="false"/>
          <w:i w:val="false"/>
          <w:color w:val="000000"/>
          <w:sz w:val="28"/>
        </w:rPr>
        <w:t>
      2) уровень доступа – "пользователь" включает в себя:</w:t>
      </w:r>
    </w:p>
    <w:p>
      <w:pPr>
        <w:spacing w:after="0"/>
        <w:ind w:left="0"/>
        <w:jc w:val="both"/>
      </w:pPr>
      <w:r>
        <w:rPr>
          <w:rFonts w:ascii="Times New Roman"/>
          <w:b w:val="false"/>
          <w:i w:val="false"/>
          <w:color w:val="000000"/>
          <w:sz w:val="28"/>
        </w:rPr>
        <w:t>
      периодическое обновление справочной информации в базе данных программного обеспечения;</w:t>
      </w:r>
    </w:p>
    <w:p>
      <w:pPr>
        <w:spacing w:after="0"/>
        <w:ind w:left="0"/>
        <w:jc w:val="both"/>
      </w:pPr>
      <w:r>
        <w:rPr>
          <w:rFonts w:ascii="Times New Roman"/>
          <w:b w:val="false"/>
          <w:i w:val="false"/>
          <w:color w:val="000000"/>
          <w:sz w:val="28"/>
        </w:rPr>
        <w:t>
      ввод данных в программное обеспечение;</w:t>
      </w:r>
    </w:p>
    <w:p>
      <w:pPr>
        <w:spacing w:after="0"/>
        <w:ind w:left="0"/>
        <w:jc w:val="both"/>
      </w:pPr>
      <w:r>
        <w:rPr>
          <w:rFonts w:ascii="Times New Roman"/>
          <w:b w:val="false"/>
          <w:i w:val="false"/>
          <w:color w:val="000000"/>
          <w:sz w:val="28"/>
        </w:rPr>
        <w:t>
      проведение в программном обеспечении определенных операций со средствами клиентов;</w:t>
      </w:r>
    </w:p>
    <w:p>
      <w:pPr>
        <w:spacing w:after="0"/>
        <w:ind w:left="0"/>
        <w:jc w:val="both"/>
      </w:pPr>
      <w:r>
        <w:rPr>
          <w:rFonts w:ascii="Times New Roman"/>
          <w:b w:val="false"/>
          <w:i w:val="false"/>
          <w:color w:val="000000"/>
          <w:sz w:val="28"/>
        </w:rPr>
        <w:t>
      формирование отчетных (выходных) форм;</w:t>
      </w:r>
    </w:p>
    <w:p>
      <w:pPr>
        <w:spacing w:after="0"/>
        <w:ind w:left="0"/>
        <w:jc w:val="both"/>
      </w:pPr>
      <w:r>
        <w:rPr>
          <w:rFonts w:ascii="Times New Roman"/>
          <w:b w:val="false"/>
          <w:i w:val="false"/>
          <w:color w:val="000000"/>
          <w:sz w:val="28"/>
        </w:rPr>
        <w:t>
      сохранение необходимой информации;</w:t>
      </w:r>
    </w:p>
    <w:p>
      <w:pPr>
        <w:spacing w:after="0"/>
        <w:ind w:left="0"/>
        <w:jc w:val="both"/>
      </w:pPr>
      <w:r>
        <w:rPr>
          <w:rFonts w:ascii="Times New Roman"/>
          <w:b w:val="false"/>
          <w:i w:val="false"/>
          <w:color w:val="000000"/>
          <w:sz w:val="28"/>
        </w:rPr>
        <w:t>
      печать отчетов и выходных документов.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41" w:id="45"/>
    <w:p>
      <w:pPr>
        <w:spacing w:after="0"/>
        <w:ind w:left="0"/>
        <w:jc w:val="both"/>
      </w:pPr>
      <w:r>
        <w:rPr>
          <w:rFonts w:ascii="Times New Roman"/>
          <w:b w:val="false"/>
          <w:i w:val="false"/>
          <w:color w:val="000000"/>
          <w:sz w:val="28"/>
        </w:rPr>
        <w:t>
      7. Для каждого пользователя программного обеспечения предусматривается вход по индивидуальному паролю. Для уровня доступа – "администратор" предусматривается возможность изменения паролей. Доступ к входным данным, функциям, операциям, отчетам обеспечивается посредством ввода соответствующего пароля, который меняется не реже одного раза в тридцать календарных дней.</w:t>
      </w:r>
    </w:p>
    <w:bookmarkEnd w:id="45"/>
    <w:bookmarkStart w:name="z42" w:id="46"/>
    <w:p>
      <w:pPr>
        <w:spacing w:after="0"/>
        <w:ind w:left="0"/>
        <w:jc w:val="both"/>
      </w:pPr>
      <w:r>
        <w:rPr>
          <w:rFonts w:ascii="Times New Roman"/>
          <w:b w:val="false"/>
          <w:i w:val="false"/>
          <w:color w:val="000000"/>
          <w:sz w:val="28"/>
        </w:rPr>
        <w:t>
      8. В программном обеспечении (независимо от уровня доступа) не допускается:</w:t>
      </w:r>
    </w:p>
    <w:bookmarkEnd w:id="46"/>
    <w:p>
      <w:pPr>
        <w:spacing w:after="0"/>
        <w:ind w:left="0"/>
        <w:jc w:val="both"/>
      </w:pPr>
      <w:r>
        <w:rPr>
          <w:rFonts w:ascii="Times New Roman"/>
          <w:b w:val="false"/>
          <w:i w:val="false"/>
          <w:color w:val="000000"/>
          <w:sz w:val="28"/>
        </w:rPr>
        <w:t>
      1) содержание средств, позволяющих исполнить определенные функции и операции с нарушением установленного порядка их выполнения;</w:t>
      </w:r>
    </w:p>
    <w:p>
      <w:pPr>
        <w:spacing w:after="0"/>
        <w:ind w:left="0"/>
        <w:jc w:val="both"/>
      </w:pPr>
      <w:r>
        <w:rPr>
          <w:rFonts w:ascii="Times New Roman"/>
          <w:b w:val="false"/>
          <w:i w:val="false"/>
          <w:color w:val="000000"/>
          <w:sz w:val="28"/>
        </w:rPr>
        <w:t>
      2) иметь функции, позволяющие напрямую вносить изменения в данные сформированных выходных документов;</w:t>
      </w:r>
    </w:p>
    <w:p>
      <w:pPr>
        <w:spacing w:after="0"/>
        <w:ind w:left="0"/>
        <w:jc w:val="both"/>
      </w:pPr>
      <w:r>
        <w:rPr>
          <w:rFonts w:ascii="Times New Roman"/>
          <w:b w:val="false"/>
          <w:i w:val="false"/>
          <w:color w:val="000000"/>
          <w:sz w:val="28"/>
        </w:rPr>
        <w:t>
      3) изменение (удаление) данных о проведенных операциях и о состоянии клиринговых регистров учета, за исключением специально предназначенных для этого операций (функций).</w:t>
      </w:r>
    </w:p>
    <w:bookmarkStart w:name="z43" w:id="47"/>
    <w:p>
      <w:pPr>
        <w:spacing w:after="0"/>
        <w:ind w:left="0"/>
        <w:jc w:val="both"/>
      </w:pPr>
      <w:r>
        <w:rPr>
          <w:rFonts w:ascii="Times New Roman"/>
          <w:b w:val="false"/>
          <w:i w:val="false"/>
          <w:color w:val="000000"/>
          <w:sz w:val="28"/>
        </w:rPr>
        <w:t>
      9. При выполнении операций программным обеспечением клирингового центра уведомляется о наступлении следующих условий:</w:t>
      </w:r>
    </w:p>
    <w:bookmarkEnd w:id="47"/>
    <w:p>
      <w:pPr>
        <w:spacing w:after="0"/>
        <w:ind w:left="0"/>
        <w:jc w:val="both"/>
      </w:pPr>
      <w:r>
        <w:rPr>
          <w:rFonts w:ascii="Times New Roman"/>
          <w:b w:val="false"/>
          <w:i w:val="false"/>
          <w:color w:val="000000"/>
          <w:sz w:val="28"/>
        </w:rPr>
        <w:t>
      1) количество средств, подлежащих списанию с клирингового регистра учета, превышает количество средств на нем;</w:t>
      </w:r>
    </w:p>
    <w:p>
      <w:pPr>
        <w:spacing w:after="0"/>
        <w:ind w:left="0"/>
        <w:jc w:val="both"/>
      </w:pPr>
      <w:r>
        <w:rPr>
          <w:rFonts w:ascii="Times New Roman"/>
          <w:b w:val="false"/>
          <w:i w:val="false"/>
          <w:color w:val="000000"/>
          <w:sz w:val="28"/>
        </w:rPr>
        <w:t>
      2) нарушение сроков исполнения сделок;</w:t>
      </w:r>
    </w:p>
    <w:p>
      <w:pPr>
        <w:spacing w:after="0"/>
        <w:ind w:left="0"/>
        <w:jc w:val="both"/>
      </w:pPr>
      <w:r>
        <w:rPr>
          <w:rFonts w:ascii="Times New Roman"/>
          <w:b w:val="false"/>
          <w:i w:val="false"/>
          <w:color w:val="000000"/>
          <w:sz w:val="28"/>
        </w:rPr>
        <w:t>
      3) клиринговой регистр учета, с которого списываются средства, блокирован.</w:t>
      </w:r>
    </w:p>
    <w:bookmarkStart w:name="z44" w:id="48"/>
    <w:p>
      <w:pPr>
        <w:spacing w:after="0"/>
        <w:ind w:left="0"/>
        <w:jc w:val="both"/>
      </w:pPr>
      <w:r>
        <w:rPr>
          <w:rFonts w:ascii="Times New Roman"/>
          <w:b w:val="false"/>
          <w:i w:val="false"/>
          <w:color w:val="000000"/>
          <w:sz w:val="28"/>
        </w:rPr>
        <w:t xml:space="preserve">
      10. Членом товарной биржи – пользователем аппаратно–программного комплекса клирингового центра выполняются следующие требования: </w:t>
      </w:r>
    </w:p>
    <w:bookmarkEnd w:id="48"/>
    <w:p>
      <w:pPr>
        <w:spacing w:after="0"/>
        <w:ind w:left="0"/>
        <w:jc w:val="both"/>
      </w:pPr>
      <w:r>
        <w:rPr>
          <w:rFonts w:ascii="Times New Roman"/>
          <w:b w:val="false"/>
          <w:i w:val="false"/>
          <w:color w:val="000000"/>
          <w:sz w:val="28"/>
        </w:rPr>
        <w:t>
      1) на рабочем месте пользователя устанавливается антивирусное программное обеспечение с регулярно обновляемой антивирусной базой и автоматическая загрузка системных обновлений операционной системы;</w:t>
      </w:r>
    </w:p>
    <w:p>
      <w:pPr>
        <w:spacing w:after="0"/>
        <w:ind w:left="0"/>
        <w:jc w:val="both"/>
      </w:pPr>
      <w:r>
        <w:rPr>
          <w:rFonts w:ascii="Times New Roman"/>
          <w:b w:val="false"/>
          <w:i w:val="false"/>
          <w:color w:val="000000"/>
          <w:sz w:val="28"/>
        </w:rPr>
        <w:t>
      2) на персональном компьютере пользователя, используемом для проведения операций, не допускается установка программных средств, не предназначенных для решения задач по подготовке, обработке, передаче или ведению электронных документов;</w:t>
      </w:r>
    </w:p>
    <w:p>
      <w:pPr>
        <w:spacing w:after="0"/>
        <w:ind w:left="0"/>
        <w:jc w:val="both"/>
      </w:pPr>
      <w:r>
        <w:rPr>
          <w:rFonts w:ascii="Times New Roman"/>
          <w:b w:val="false"/>
          <w:i w:val="false"/>
          <w:color w:val="000000"/>
          <w:sz w:val="28"/>
        </w:rPr>
        <w:t>
      3) одному системному имени пользователя, по которому идентифицируется пользователь при входе в программную среду, соответствует одно физическое лицо.</w:t>
      </w:r>
    </w:p>
    <w:bookmarkStart w:name="z45" w:id="49"/>
    <w:p>
      <w:pPr>
        <w:spacing w:after="0"/>
        <w:ind w:left="0"/>
        <w:jc w:val="both"/>
      </w:pPr>
      <w:r>
        <w:rPr>
          <w:rFonts w:ascii="Times New Roman"/>
          <w:b w:val="false"/>
          <w:i w:val="false"/>
          <w:color w:val="000000"/>
          <w:sz w:val="28"/>
        </w:rPr>
        <w:t>
      11. Для обеспечения бесперебойности и непрерывности функционирования своего аппаратно–программного комплекса клиринговый центр предусматривает наличие не менее двух источников бесперебойного электрического питания, один из которых используется в качестве основного, а остальные – в качестве резервных, либо единственный источник бесперебойного электрического питания, с наличием резервного генератора, готовым к немедленной активации.</w:t>
      </w:r>
    </w:p>
    <w:bookmarkEnd w:id="49"/>
    <w:bookmarkStart w:name="z46" w:id="50"/>
    <w:p>
      <w:pPr>
        <w:spacing w:after="0"/>
        <w:ind w:left="0"/>
        <w:jc w:val="both"/>
      </w:pPr>
      <w:r>
        <w:rPr>
          <w:rFonts w:ascii="Times New Roman"/>
          <w:b w:val="false"/>
          <w:i w:val="false"/>
          <w:color w:val="000000"/>
          <w:sz w:val="28"/>
        </w:rPr>
        <w:t>
      12. Серверное аппаратное обеспечение клирингового центра имеет в своем составе резервное оборудование, готовое к немедленной активизации в случае повреждения, уничтожения или невозможности использования основного оборудования. При этом помещение с серверным оборудованием оснащается системой контроля доступа.</w:t>
      </w:r>
    </w:p>
    <w:bookmarkEnd w:id="5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