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39f5" w14:textId="a6f3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посещения субъекта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и социального развития Республики Казахстан от 30 ноября 2015 года № 905 и Министра национальной экономики Республики Казахстан от 10 декабря 2015 года № 763. Зарегистрирован в Министерстве юстиции Республики Казахстан 26 декабря 2015 года № 12530. Утратил силу совместным приказом Министра труда и социальной защиты населения Республики Казахстан от 20 мая 2019 года № 263 и Министра национальной экономики Республики Казахстан от 3 июня 2019 года № 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труда и социальной защиты населения РК от 20.05.2019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03.06.2019 № 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197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посещения субъекта контроля.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августа 2014 года № 48 и Министра национальной экономики Республики Казахстан от 28 августа 2014 года № 3 "Об утверждении критериев посещения субъекта контроля" (зарегистрированный в Реестре государственной регистрации нормативных правовых актов за № 9755, опубликованный в информационно-правовой системе "Әділет" 24 октября 2014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совместного приказа до сведения местных органов по инспекции труда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совместного приказа в Министерстве юстиции Республики Казахстан предоставление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вице-министра здравоохранения и социального развития Республики Казахстан Нурымбетова Б.Б.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763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посещения субъекта контроля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Субъектами посещения являются физические или юридические лица, осуществляющие деятельность в следующих травмоопасных видах экономической деятельности: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горнодобывающая промышленность и разработка карьеров;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(за исключением разработки строительных проектов);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производство, передача и распределение электроэнергии;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водоснабжение, канализационная система, контроль над сбором и распределением отходов (за исключением сбора, обработки и удаления отходов; утилизации отходов, рекультивации и прочих услуг в области удаления отходов);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сельское, лесное и рыбное хозяйство;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обрабатывающая промышленность (за исключением строительства, ремонта и технического обслуживания кораблей и плавучих конструкций);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транспорт и складирование (за исключением морского и прибрежного пассажирского транспорта, деятельности такси, складского хозяйства и вспомогательной транспортной деятельности, почтовой и курьерской деятельности).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численности работников субъекты контроля распределяются на три группы: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среднегодовой численностью работников свыше 250 человек, посещения - не более одного раза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среднегодовой численностью работников свыше 50 человек, посещения - не более одного раза в два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среднегодовой численностью работников до 50 человек, посещения - не более одного раза в три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