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39f5" w14:textId="a6f3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посещения субъекта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и социального развития Республики Казахстан от 30 ноября 2015 года № 905 и Министра национальной экономики Республики Казахстан от 10 декабря 2015 года № 763. Зарегистрирован в Министерстве юстиции Республики Казахстан 26 декабря 2015 года № 12530. Утратил силу совместным приказом Министра труда и социальной защиты населения Республики Казахстан от 20 мая 2019 года № 263 и Министра национальной экономики Республики Казахстан от 3 июня 2019 года № 50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труда и социальной защиты населения РК от 20.05.2019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03.06.2019 № 50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197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посещения субъекта контроля.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августа 2014 года № 48 и Министра национальной экономики Республики Казахстан от 28 августа 2014 года № 3 "Об утверждении критериев посещения субъекта контроля" (зарегистрированный в Реестре государственной регистрации нормативных правовых актов за № 9755, опубликованный в информационно-правовой системе "Әділет" 24 октября 2014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труда, социальной защиты и миграции Министерства здравоохранения и социального развития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Казахстан,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совместного приказа до сведения местных органов по инспекции труда областей, городов Астана и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совместного приказа в Министерстве юстиции Республики Казахстан предоставление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вице-министра здравоохранения и социального развития Республики Казахстан Нурымбетова Б.Б.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с 1 января 2016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 социального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совместным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2015 года № 905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763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посещения субъекта контроля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Субъектами посещения являются физические или юридические лица, осуществляющие деятельность в следующих травмоопасных видах экономической деятельности: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горнодобывающая промышленность и разработка карьеров;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(за исключением разработки строительных проектов);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производство, передача и распределение электроэнергии;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водоснабжение, канализационная система, контроль над сбором и распределением отходов (за исключением сбора, обработки и удаления отходов; утилизации отходов, рекультивации и прочих услуг в области удаления отходов);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сельское, лесное и рыбное хозяйство;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обрабатывающая промышленность (за исключением строительства, ремонта и технического обслуживания кораблей и плавучих конструкций);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транспорт и складирование (за исключением морского и прибрежного пассажирского транспорта, деятельности такси, складского хозяйства и вспомогательной транспортной деятельности, почтовой и курьерской деятельности).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зависимости от численности работников субъекты контроля распределяются на три группы: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среднегодовой численностью работников свыше 250 человек, посещения - не более одного раза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среднегодовой численностью работников свыше 50 человек, посещения - не более одного раза в два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среднегодовой численностью работников до 50 человек, посещения - не более одного раза в три года.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