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f11d" w14:textId="b0d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показателей рождаемости и смертности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17 ноября 2015 года № 180. Зарегистрирован в Министерстве юстиции Республики Казахстан 11 декабря 2015 года № 12399. Утратил силу приказом Председателя Комитета по статистике Министерства национальной экономики Республики Казахстан от 14 октября 2019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за № 9779,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показателей рождаемости и смертности.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интернет–ресурсе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(Иманалиев Б.З.).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2015 года № 180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показателей рождаемости и смертности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показателей рождаемости и смертности (далее – Методика) относится к статистической методологии, формируемой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методы расчета показателей рождаемости и смертности, основанные на общегосударственных статистических наблюдениях.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Комитетом по статистике Министерства национальной экономики Республики Казахстан и его территориальными органами (далее – территориальные органы) при расчете показателей рождаемости и смертности.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Значимость расчетных показателей рождаемости и смертности обусловлена их ролью при анализе демографических явлений и оценке сложившейся демографической ситуации в стране и ее регионах. Расчетные показатели рождаемости и смертности широко используются при анализе социально-демографического развития страны. Важное значение имеют показатели младенческой и детской смертности, характеризующие состояние здоровья населения страны.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расчета показателей рождаемости и смертности является получение полной и достоверной информации об уровнях рождаемости и смертности.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о рождаемости и смертности являются административные данные, поступающие в территориальные органы от местных исполнительных органов согласно Закона.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основных показателей рождаемости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коэффициент рождаемости выражается в промилле (на 1000 человек) и характеризует интенсивность деторождения по отношению ко всему населению. Вычисляется по формуле: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CBR =(B/P)*1000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CBR - общий коэффициент рождаемости;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абсолютное число рождений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среднегодовое население.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Возрастной коэффициент рождаемости выражается в промилле и показывает число родившихся у женщин определенного возраста. За нижнюю и верхнюю границу репродуктивного возраста обычно принимают 15 лет и 49 (44) лет. Рождения у женщин моложе 15 лет и у женщин старше 50 (45) лет включают в эти нижнюю и верхнюю границы. Возрастные коэффициенты рассчитываются по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ASFR=( В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/ F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)*1000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ASFR - возрастные коэффициенты рождаемости;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 - число рождений у женщин возраста 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FХ - среднегодовая численность женщин возраста x лет.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Суммарный коэффициент рождаемости является наиболее точным измерителем уровня рождаемости. Характеризует среднее число детей, рожденных одной женщиной за всю жизнь, при условии сохранения той интенсивности повозрастной рождаемости, которая наблюдалась в год, для которого рассчитывается данный показатель. Суммарный коэффициент рождаемости исчисляют при предположении отсутствия смертности, то есть при предположении, что все женщины условного поколения останутся в живых до конца репродуктивного периода (15-49 лет).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коэффициент рождаемости рассчитывается как сумма повозрастных коэффициентов для возрастов от 15 до 49 лет: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TFR - суммарный коэффициент рождаемости;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ASFR - возрастные коэффициенты рождаемости.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данные публикуются по 5-летним возрастным интервалам, то используется следующая формула: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448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ASFR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повозрастные коэффициенты рождаемости для 5-летних возрастных интервалов.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на 1000 производят, чтобы привести значение коэффициента к одной женщине.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Брутто-коэффициент воспроизводства населения – показатель замещения поколений, не учитывающий смертности. Брутто-коэффициент воспроизводства населения равен среднему числу дочерей, которое родит женщина гипотетического поколения при условии отсутствия смертности и сохранения в течение всей ее жизни повозрастных коэффициентов рождаемости данного года. Брутто-коэффициент воспроизводства населения получается путем умножения суммарного показателя рождаемости на долю девочек среди родившихся.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58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брутто-коэффициент воспроизводства;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доля девочек среди новорожденных (как правило, она принимается примерно равной 0,488 и одинакова для всех возрастов женщин);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TFR - суммарный коэффициент рождаемости.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Нетто-коэффициент воспроизводства населения представляет собой среднее число девочек, рожденных за всю жизнь одной женщиной, дожившей до конца репродуктивного периода (15-49 лет) при данных уровнях рождаемости и смертности. Если нетто-коэффициент воспроизводства населения меньше 1, то современные уровни рождаемости и смертности не могут обеспечить в будущем замену материнского поколения дочерним. Расчет осуществляется по формуле: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нетто-коэффициент воспроизводства;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возрастной коэффициент рождаемости в возрасте x;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- среднее число живущих женщин в возрасте x по таблице смертности.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Расчет основных показателей смертности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коэффициент смертности выражается в промилле и показывает, сколько смертей приходится на 1000 населения за календарный год. Этот коэффициент исчисляется по следующей формуле: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CMR =(D/P)*1000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CMR - общий коэффициент смертности;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- абсолютное число умерших за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среднегодовое население.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Возрастные коэффициенты смертности характеризуют средний уровень смертности в каждой возрастной группе в календарном году. Рассчитываются по формуле: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ASMR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=( 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/ P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)*1000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ASMR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повозрастные коэффициенты смертности;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умерших на интервале возраста (х);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среднегодовая численность населения в интервале возраста (х+n).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смертности по причинам смерти рассчитывается также, как и общий коэффициент смертности, с той лишь разницей, что в числителе вместо общего числа умерших оказывается число умерших от отдельной причины, в знаменателе, как и при расчете общих показателей – среднегодовая численность населения. Коэффициент исчисляется в расчете на 100 000 населения.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Методы расчета коэффициента младенческой смертности (смертность детей в возрасте до 1 года) отличаются от методов расчета всех других возрастных коэффициентов. При вычислении число смертей детей в возрасте до 1 года делится не на их среднегодовую численность, а на число родившихся.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имеются данные о распределении детей, умерших в возрасте до года, по годам своего рождения (или, иначе говоря, по поколениям), то каждая совокупность умерших детей в возрасте 0 лет соотносится с соответствующим ей числом родившихся. Расчет выглядит в виде следующей формулы: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младенческой смертности в расчетном году 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число детей, умерших в возрасте до года из числа родившихся соответственно в расчетном году t и предыдущем году t-1;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число родившихся соответственно в расчетном году t и предыдущем году t-1.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младенческой смертности за отдельный период используется формула (рекомендация Всемирной организации здравоохранения):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МС</w:t>
      </w:r>
      <w:r>
        <w:rPr>
          <w:rFonts w:ascii="Times New Roman"/>
          <w:b w:val="false"/>
          <w:i w:val="false"/>
          <w:color w:val="000000"/>
          <w:sz w:val="28"/>
        </w:rPr>
        <w:t>= (М / N)*1000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МС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младенческой смертности;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число умерших детей в возрасте до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число детей, родившихся живыми.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Коэффициент мертворождаемости рассчитывается как отношение числа мертворожденных в данном году к числу родившихся в том же году.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Коэффициент неонатальной смертности (смертность с момента рождения до 28-го дня жизни) – отношение числа умерших в неонатальном периоде к числу родившихся живыми в том же году.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ранней неонатальной смертности (смертность в течение первых 7 дней жизни) – отношение числа умерших в ранее неонатальном периоде к числу родившихся живыми в том же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поздней неонатальной смертности (смертность, имеющую место в период после 7 дней жизни до 28 дней жизни) – отношение числа умерших в поздний неонатальном периоде к числу родившихся живыми в том же году.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Коэффициент перинатальной смертности – отношение числа мертворожденных и умерших в раннем неонатальном периоде к общему числу родившихся живыми и мертвыми.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Наиболее совершенным инструментом для получения комплексных оценок смертности и продолжительности жизни является таблица смертности.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таблицы смертности: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/P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наблюдаемый коэффициент смертности;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умерших в возрасте 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среднегодовая численность населения в возрасте 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=m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/(1+(1-a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)m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q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вероятность умереть в возрасте х (т.е. в возрастном интервале от х до х+1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=1- q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р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вероятность для доживших до возраста х дожить и до следующего года возраста х+1.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19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доживающих до возраста х лет, начальную численность поколения или корень таблицы принимается равной 100 000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l</w:t>
      </w:r>
      <w:r>
        <w:rPr>
          <w:rFonts w:ascii="Times New Roman"/>
          <w:b w:val="false"/>
          <w:i w:val="false"/>
          <w:color w:val="000000"/>
          <w:vertAlign w:val="subscript"/>
        </w:rPr>
        <w:t>х+1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умирающих в возрасте х лет (т.е. в возрастном интервале от х до х+1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+a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*d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лет, живущих в возрасте x (в возрастном интервале от х до х+1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+L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+1</w:t>
      </w:r>
      <w:r>
        <w:rPr>
          <w:rFonts w:ascii="Times New Roman"/>
          <w:b w:val="false"/>
          <w:i w:val="false"/>
          <w:color w:val="000000"/>
          <w:sz w:val="28"/>
        </w:rPr>
        <w:t>+…+L</w:t>
      </w:r>
      <w:r>
        <w:rPr>
          <w:rFonts w:ascii="Times New Roman"/>
          <w:b w:val="false"/>
          <w:i w:val="false"/>
          <w:color w:val="000000"/>
          <w:vertAlign w:val="subscript"/>
        </w:rPr>
        <w:t>w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Т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живущих в возрасте х лет и старше (число человеко-лет предстоящей жизни для данного поколения).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733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е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ожидаемая продолжительность жизни при рождении.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526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ожидаемая продолжительность жизни для достигших возраста х лет;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предельный возраст, до которого не доживает ни один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Расчет коэффициентов за отдельный период года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относительных демографических показателей осуществляется за месяц и за любое число месяцев с накоплением (период), с применением коэффициента перевода и средней численности населения.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перевода в месяце (периоде) вычисляется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точностью до шестого знака после запятой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= DN/dn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перевода в месяце (периоде);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DN - число дней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dn - число дней в месяце (периоде);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месяц (период).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коэффициента перевода данные в месяце (периоде) приводятся к годовому выражению. Число дней в году берется из расчета 365 дней (в високосном году – 366).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численность населения в месяце (периоде) вычисляется с точностью до одного знака после запятой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= S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+( ОП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/2)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численность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населения на 1 января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прирост, убыль (–);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месяц (период).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Общие коэффициенты рождаемости и смертности за месяц (период) рассчитываются по следующим формулам: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(N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) =( N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)/S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(N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) - коэффициент рождаемости;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родившихся;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численность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месяц (период).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(M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) = (M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)/S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(M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) - коэффициент смертности;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умерших;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численность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месяц (период).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