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db6b" w14:textId="259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и медицинской техники и проведению оценки безопасности и качества лекарственных средств и изделий медицинского назначения, зарегистрированных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сентября 2015 года № 771. Зарегистрирован в Министерстве юстиции Республики Казахстан 16 октября 2015 года № 12179. Утратил силу приказом Министра здравоохранения Республики Казахстан от 31 августа 2017 года № 671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31.08.2017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услуги, реализуемые субъектом государственной монополии по проведению оценки безопасности и качества лекарственных средств и изделий медицинского назначения, зарегистрированных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закупок и активов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771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монополии по проведению экспертизы при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регистрации, перерегистрации и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регистрационное досье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 медицинской техники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6194"/>
        <w:gridCol w:w="1076"/>
        <w:gridCol w:w="338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в тенге без НДС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Экспертиза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и медицинской техники, ввозимые в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1 401 552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1 121 196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1 350 891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дозы-балк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1 095 386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748 079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многокомпонентный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1 648 097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1 272 695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1 567 382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1 231 160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однокомпонентный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1 234 878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993 047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Гомеопатическое средство и лекарственное средство растительного происхождения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GMP, премиксы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Экспертиза при государственной перерегистрации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1 266 959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1 233 180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912 352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многокомпонентный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1 224 339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1 062 538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1 034 858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однокомпонентный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1 003 929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882 980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Гомеопатическое средство и лекарственное средство растительного происхождения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GMP, премиксы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239 933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Экспертиза при внесении изменений (1 типа)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(1 типа) в регистрационное досье, с аналитической экспертизой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при внесении изменений (1 типа) в регистрационное досье, без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Экспертиза при регистрации (перерегистрации)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Брекет-системы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в виде растворов, капель, спреев, гелей, мазей, таблеток, кремов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invitro диагностики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invitro диагностики, набор до 10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invitro диагностики, набор от 11 до 20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invitro диагностики, набор свыше 20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контроля рождаемости и защиты от инфекций, передающихся половым путем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для службы экстракорпорального оплодотворения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санитарно-гигиенического назначения многоразового пользования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санитарно-гигиенического назначения одноразового пользования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 специального назначения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назначения, применяемые для функциональной диагностики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Экспертиза при внесении изменений (1 типа) в регистрационное досье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(1 типа) в регистрационное досье изделий медицинского назначения, без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(1 типа) в регистрационное досье изделий медицинского назначения, с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Экспертиза при регистрации и перерегистрации медицинской техники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- класс безопасности 1 и 2а - регистрация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- класс безопасности 2 б и 3 - регистрация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комплексы - регистрация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Экспертиза при внесении изменений (1 типа) в регистрационное досье медицинской техники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(1 типа) в регистрационное досье медицинской техники, без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Экспертиза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для отечественных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многокомпонентный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однокомпонентный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Гомеопатическое средство и лекарственное средство растительного происхождения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- балк продук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GMP, премиксы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многокомпонентный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однокомпонентный иммунобиологический препарат, биосимиляры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Гомеопатическое средство и лекарственное средство растительного происхождения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GMP, премиксы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Экспертиза при внесении изменений (1 типа)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(1 типа) в регистрационное досье, с аналитической экспертизой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при внесении изменений (1 типа) в регистрационное досье, без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Экспертиза при регистрации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Брекет-системы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для стоматологии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имплантируемых)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в виде растворов, капель, спреев, гелей, мазей, таблеток, кремов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invitro диагностики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invitro диагностики, набор до 10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invitro диагностики, набор от 11 до 20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invitro диагностики, набор свыше 20 наименований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контроля рождаемости и защиты от инфекций, передающихся половым путем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для службы экстракорпорального оплодотворения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санитарно-гигиенического назначения многоразового пользования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санитарно- гигиенического назначения одноразового пользования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специального назначения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применяемые для функциональной диагностики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Экспертиза при внесении изменений (1 типа) в регистрационное досье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(1 типа) в регистрационное досье изделий медицинского назначения, без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(1 типа) в регистрационное досье изделий медицинского назначения, с аналитической экспертизы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p>
      <w:pPr>
        <w:spacing w:after="0"/>
        <w:ind w:left="0"/>
        <w:jc w:val="left"/>
      </w:pP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при перерегистрации изделий медицинского назначения и медицинской техники, произведенные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2015 года № 771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монополии по проведению оценки безопасности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изделий медицинского назначения,</w:t>
      </w:r>
      <w:r>
        <w:br/>
      </w:r>
      <w:r>
        <w:rPr>
          <w:rFonts w:ascii="Times New Roman"/>
          <w:b/>
          <w:i w:val="false"/>
          <w:color w:val="000000"/>
        </w:rPr>
        <w:t>зарегистрированных в Республике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5100"/>
        <w:gridCol w:w="1565"/>
        <w:gridCol w:w="4075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Цена в тенге без НДС 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Оценка безопасности и качества лекарственных средств и условий производства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Однокомпонентное лекарственное препарат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многокомпонентный иммунобиологический препарат, биосимиляры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однокомпонентный иммунобиологический препарат, биосимиляры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Гомеопатическое средство и лекарственное средство растительного происхождения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GMP, премиксы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условий производства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производственный цех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Оценка безопасности и качества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медицинского назначения по показателям "Упаковка", "Маркировка"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