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8277" w14:textId="8478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ноября 2014 года № 131 "Об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7 сентября 2015 года № 559. Зарегистрирован в Министерстве юстиции Республики Казахстан 13 октября 2015 года № 12164. Утратил силу приказом Министра экологии, геологии и природных ресурсов Республики Казахстан от 14 июля 2021 года № 250.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14.07.2021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w:t>
      </w:r>
    </w:p>
    <w:bookmarkEnd w:id="0"/>
    <w:p>
      <w:pPr>
        <w:spacing w:after="0"/>
        <w:ind w:left="0"/>
        <w:jc w:val="both"/>
      </w:pPr>
      <w:r>
        <w:rPr>
          <w:rFonts w:ascii="Times New Roman"/>
          <w:b w:val="false"/>
          <w:i w:val="false"/>
          <w:color w:val="000000"/>
          <w:sz w:val="28"/>
        </w:rPr>
        <w:t>
      20 ноября 2014 года № 131 "Об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 (зарегистрированный в Реестре государственной регистрации нормативных правовых актов за № 10025, опубликованный в газете "Казахстанская правда" от 12 февраля 2015 года № 28 (27904)) следующее изменение:</w:t>
      </w:r>
    </w:p>
    <w:bookmarkStart w:name="z1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фоновых экологических исследований при проведении нефтяных операций в казахстанском секторе Каспийского моря,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 w:id="2"/>
    <w:p>
      <w:pPr>
        <w:spacing w:after="0"/>
        <w:ind w:left="0"/>
        <w:jc w:val="both"/>
      </w:pPr>
      <w:r>
        <w:rPr>
          <w:rFonts w:ascii="Times New Roman"/>
          <w:b w:val="false"/>
          <w:i w:val="false"/>
          <w:color w:val="000000"/>
          <w:sz w:val="28"/>
        </w:rPr>
        <w:t>
      2.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9 сентября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2015 года № 559</w:t>
            </w:r>
            <w:r>
              <w:br/>
            </w:r>
            <w:r>
              <w:rPr>
                <w:rFonts w:ascii="Times New Roman"/>
                <w:b w:val="false"/>
                <w:i w:val="false"/>
                <w:color w:val="000000"/>
                <w:sz w:val="20"/>
              </w:rPr>
              <w:t>Приложение</w:t>
            </w:r>
            <w:r>
              <w:br/>
            </w:r>
            <w:r>
              <w:rPr>
                <w:rFonts w:ascii="Times New Roman"/>
                <w:b w:val="false"/>
                <w:i w:val="false"/>
                <w:color w:val="000000"/>
                <w:sz w:val="20"/>
              </w:rPr>
              <w:t>к Правилам</w:t>
            </w:r>
            <w:r>
              <w:br/>
            </w:r>
            <w:r>
              <w:rPr>
                <w:rFonts w:ascii="Times New Roman"/>
                <w:b w:val="false"/>
                <w:i w:val="false"/>
                <w:color w:val="000000"/>
                <w:sz w:val="20"/>
              </w:rPr>
              <w:t>организации и проведения фоновых</w:t>
            </w:r>
            <w:r>
              <w:br/>
            </w:r>
            <w:r>
              <w:rPr>
                <w:rFonts w:ascii="Times New Roman"/>
                <w:b w:val="false"/>
                <w:i w:val="false"/>
                <w:color w:val="000000"/>
                <w:sz w:val="20"/>
              </w:rPr>
              <w:t>экологических исследований при</w:t>
            </w:r>
            <w:r>
              <w:br/>
            </w:r>
            <w:r>
              <w:rPr>
                <w:rFonts w:ascii="Times New Roman"/>
                <w:b w:val="false"/>
                <w:i w:val="false"/>
                <w:color w:val="000000"/>
                <w:sz w:val="20"/>
              </w:rPr>
              <w:t>проведении нефтяных операций</w:t>
            </w:r>
            <w:r>
              <w:br/>
            </w:r>
            <w:r>
              <w:rPr>
                <w:rFonts w:ascii="Times New Roman"/>
                <w:b w:val="false"/>
                <w:i w:val="false"/>
                <w:color w:val="000000"/>
                <w:sz w:val="20"/>
              </w:rPr>
              <w:t>в казахстанском секторе</w:t>
            </w:r>
            <w:r>
              <w:br/>
            </w:r>
            <w:r>
              <w:rPr>
                <w:rFonts w:ascii="Times New Roman"/>
                <w:b w:val="false"/>
                <w:i w:val="false"/>
                <w:color w:val="000000"/>
                <w:sz w:val="20"/>
              </w:rPr>
              <w:t>Каспийского моря</w:t>
            </w:r>
          </w:p>
        </w:tc>
      </w:tr>
    </w:tbl>
    <w:bookmarkStart w:name="z11" w:id="5"/>
    <w:p>
      <w:pPr>
        <w:spacing w:after="0"/>
        <w:ind w:left="0"/>
        <w:jc w:val="left"/>
      </w:pPr>
      <w:r>
        <w:rPr>
          <w:rFonts w:ascii="Times New Roman"/>
          <w:b/>
          <w:i w:val="false"/>
          <w:color w:val="000000"/>
        </w:rPr>
        <w:t xml:space="preserve"> Перечень определяемых компонентов и показателей</w:t>
      </w:r>
      <w:r>
        <w:br/>
      </w:r>
      <w:r>
        <w:rPr>
          <w:rFonts w:ascii="Times New Roman"/>
          <w:b/>
          <w:i w:val="false"/>
          <w:color w:val="000000"/>
        </w:rPr>
        <w:t>окружающей среды при проведении фоновых экологических</w:t>
      </w:r>
      <w:r>
        <w:br/>
      </w:r>
      <w:r>
        <w:rPr>
          <w:rFonts w:ascii="Times New Roman"/>
          <w:b/>
          <w:i w:val="false"/>
          <w:color w:val="000000"/>
        </w:rPr>
        <w:t>исследований</w:t>
      </w:r>
    </w:p>
    <w:bookmarkEnd w:id="5"/>
    <w:p>
      <w:pPr>
        <w:spacing w:after="0"/>
        <w:ind w:left="0"/>
        <w:jc w:val="both"/>
      </w:pPr>
      <w:r>
        <w:rPr>
          <w:rFonts w:ascii="Times New Roman"/>
          <w:b w:val="false"/>
          <w:i w:val="false"/>
          <w:color w:val="000000"/>
          <w:sz w:val="28"/>
        </w:rPr>
        <w:t>
      1) метеорологические наблюдения.</w:t>
      </w:r>
    </w:p>
    <w:p>
      <w:pPr>
        <w:spacing w:after="0"/>
        <w:ind w:left="0"/>
        <w:jc w:val="both"/>
      </w:pPr>
      <w:r>
        <w:rPr>
          <w:rFonts w:ascii="Times New Roman"/>
          <w:b w:val="false"/>
          <w:i w:val="false"/>
          <w:color w:val="000000"/>
          <w:sz w:val="28"/>
        </w:rPr>
        <w:t>
      Наблюдения ведутся за: направлением и скоростью ветра, температурой воздуха, состоянием погоды (облачность, атмосферные осадки).</w:t>
      </w:r>
    </w:p>
    <w:p>
      <w:pPr>
        <w:spacing w:after="0"/>
        <w:ind w:left="0"/>
        <w:jc w:val="both"/>
      </w:pPr>
      <w:r>
        <w:rPr>
          <w:rFonts w:ascii="Times New Roman"/>
          <w:b w:val="false"/>
          <w:i w:val="false"/>
          <w:color w:val="000000"/>
          <w:sz w:val="28"/>
        </w:rPr>
        <w:t>
      Периодичность наблюдений: во время отбора проб воздуха;</w:t>
      </w:r>
    </w:p>
    <w:p>
      <w:pPr>
        <w:spacing w:after="0"/>
        <w:ind w:left="0"/>
        <w:jc w:val="both"/>
      </w:pPr>
      <w:r>
        <w:rPr>
          <w:rFonts w:ascii="Times New Roman"/>
          <w:b w:val="false"/>
          <w:i w:val="false"/>
          <w:color w:val="000000"/>
          <w:sz w:val="28"/>
        </w:rPr>
        <w:t>
      2) атмосферный воздух.</w:t>
      </w:r>
    </w:p>
    <w:p>
      <w:pPr>
        <w:spacing w:after="0"/>
        <w:ind w:left="0"/>
        <w:jc w:val="both"/>
      </w:pPr>
      <w:r>
        <w:rPr>
          <w:rFonts w:ascii="Times New Roman"/>
          <w:b w:val="false"/>
          <w:i w:val="false"/>
          <w:color w:val="000000"/>
          <w:sz w:val="28"/>
        </w:rPr>
        <w:t>
      Наблюдения ведутся за: диоксидом серы, оксидом и диоксидом азота, оксидом углерода, углеводородами, сероводородом.</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3) морские воды.</w:t>
      </w:r>
    </w:p>
    <w:p>
      <w:pPr>
        <w:spacing w:after="0"/>
        <w:ind w:left="0"/>
        <w:jc w:val="both"/>
      </w:pPr>
      <w:r>
        <w:rPr>
          <w:rFonts w:ascii="Times New Roman"/>
          <w:b w:val="false"/>
          <w:i w:val="false"/>
          <w:color w:val="000000"/>
          <w:sz w:val="28"/>
        </w:rPr>
        <w:t>
      Гидрологические и гидрофизические параметры: температура воды, соленость, электропроводность, прозрачность, глубина, мутность, высота и направление волн, скорость морских течений и прочие наблюдения (запыление поверхностей, особенно при морских строительных работах, высокая мутность, наличие пены, мертвых организмов (растений/рыб).</w:t>
      </w:r>
    </w:p>
    <w:p>
      <w:pPr>
        <w:spacing w:after="0"/>
        <w:ind w:left="0"/>
        <w:jc w:val="both"/>
      </w:pPr>
      <w:r>
        <w:rPr>
          <w:rFonts w:ascii="Times New Roman"/>
          <w:b w:val="false"/>
          <w:i w:val="false"/>
          <w:color w:val="000000"/>
          <w:sz w:val="28"/>
        </w:rPr>
        <w:t xml:space="preserve">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w:t>
      </w:r>
    </w:p>
    <w:p>
      <w:pPr>
        <w:spacing w:after="0"/>
        <w:ind w:left="0"/>
        <w:jc w:val="both"/>
      </w:pPr>
      <w:r>
        <w:rPr>
          <w:rFonts w:ascii="Times New Roman"/>
          <w:b w:val="false"/>
          <w:i w:val="false"/>
          <w:color w:val="000000"/>
          <w:sz w:val="28"/>
        </w:rPr>
        <w:t>
      Гидрохимические параметры: водородный показатель, растворенный кислород, биохимическое потребление кислорода, химическое потребление кислорода, азот аммонийный, азот общий, фосфор общий.</w:t>
      </w:r>
    </w:p>
    <w:p>
      <w:pPr>
        <w:spacing w:after="0"/>
        <w:ind w:left="0"/>
        <w:jc w:val="both"/>
      </w:pPr>
      <w:r>
        <w:rPr>
          <w:rFonts w:ascii="Times New Roman"/>
          <w:b w:val="false"/>
          <w:i w:val="false"/>
          <w:color w:val="000000"/>
          <w:sz w:val="28"/>
        </w:rPr>
        <w:t xml:space="preserve">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w:t>
      </w:r>
    </w:p>
    <w:p>
      <w:pPr>
        <w:spacing w:after="0"/>
        <w:ind w:left="0"/>
        <w:jc w:val="both"/>
      </w:pPr>
      <w:r>
        <w:rPr>
          <w:rFonts w:ascii="Times New Roman"/>
          <w:b w:val="false"/>
          <w:i w:val="false"/>
          <w:color w:val="000000"/>
          <w:sz w:val="28"/>
        </w:rPr>
        <w:t>
      Качество морской воды: общая концентрация углеводородов, полиароматические углеводороды, синтетические поверхностно-активные вещества (анионные поверхностно-активные вещества), фенолы, тяжелые металлы (Al, As, Ba, Cd, Cr, Cu, Fe, Hg, Ni, Pb, V, Zn).</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4) донный осадок.</w:t>
      </w:r>
    </w:p>
    <w:p>
      <w:pPr>
        <w:spacing w:after="0"/>
        <w:ind w:left="0"/>
        <w:jc w:val="both"/>
      </w:pPr>
      <w:r>
        <w:rPr>
          <w:rFonts w:ascii="Times New Roman"/>
          <w:b w:val="false"/>
          <w:i w:val="false"/>
          <w:color w:val="000000"/>
          <w:sz w:val="28"/>
        </w:rPr>
        <w:t>
      Гранулометрический состав, окислительно-восстановительный потенциал, температура донных отложений на глубине одного и четырех сантиметров, содержание органического углерода, тяжелые металлы (Al, As, Ba, Cd, Cr, Cu, Fe, Hg, Ni, Pb, V, Zn), фенолы, общая концентрация углеводородов, полиароматические углеводороды.</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Микробиологические наблюдения: общее количество микроорганизмов, общее число сапрофитов, актиномицетов и грибов, биомасса микроорганизмов, нефтеокисляющие микроорганизмы.</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5) бентос.</w:t>
      </w:r>
    </w:p>
    <w:p>
      <w:pPr>
        <w:spacing w:after="0"/>
        <w:ind w:left="0"/>
        <w:jc w:val="both"/>
      </w:pPr>
      <w:r>
        <w:rPr>
          <w:rFonts w:ascii="Times New Roman"/>
          <w:b w:val="false"/>
          <w:i w:val="false"/>
          <w:color w:val="000000"/>
          <w:sz w:val="28"/>
        </w:rPr>
        <w:t>
      Общая численность организмов, видовой состав (число и список видов), общая биомасса, количество основных групп и видов, доминирующие по численности и биомассе виды (состав количественно преобладающих видов зообентоса).</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6) фитопланктон.</w:t>
      </w:r>
    </w:p>
    <w:p>
      <w:pPr>
        <w:spacing w:after="0"/>
        <w:ind w:left="0"/>
        <w:jc w:val="both"/>
      </w:pPr>
      <w:r>
        <w:rPr>
          <w:rFonts w:ascii="Times New Roman"/>
          <w:b w:val="false"/>
          <w:i w:val="false"/>
          <w:color w:val="000000"/>
          <w:sz w:val="28"/>
        </w:rPr>
        <w:t>
      Общая численность клеток фитопланктона, общая биомасса, видовой состав (число и список видов), уровень сапробности.</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7) зоопланктон.</w:t>
      </w:r>
    </w:p>
    <w:p>
      <w:pPr>
        <w:spacing w:after="0"/>
        <w:ind w:left="0"/>
        <w:jc w:val="both"/>
      </w:pPr>
      <w:r>
        <w:rPr>
          <w:rFonts w:ascii="Times New Roman"/>
          <w:b w:val="false"/>
          <w:i w:val="false"/>
          <w:color w:val="000000"/>
          <w:sz w:val="28"/>
        </w:rPr>
        <w:t>
      Общая численность организмов, видовой состав (число и список видов), общая биомасса, уровень сапробности, количество основных групп и видов, биомасса основных групп и видов.</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8) водная растительность.</w:t>
      </w:r>
    </w:p>
    <w:p>
      <w:pPr>
        <w:spacing w:after="0"/>
        <w:ind w:left="0"/>
        <w:jc w:val="both"/>
      </w:pPr>
      <w:r>
        <w:rPr>
          <w:rFonts w:ascii="Times New Roman"/>
          <w:b w:val="false"/>
          <w:i w:val="false"/>
          <w:color w:val="000000"/>
          <w:sz w:val="28"/>
        </w:rPr>
        <w:t>
      Флористический состав сообществ, процент распространения видов в сообществах, проективное покрытие донной поверхности растительностью в процентах, структуры растительности (вертикальная, горизонтальная), степень трансформации растительности.</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9) ихтиофауна.</w:t>
      </w:r>
    </w:p>
    <w:p>
      <w:pPr>
        <w:spacing w:after="0"/>
        <w:ind w:left="0"/>
        <w:jc w:val="both"/>
      </w:pPr>
      <w:r>
        <w:rPr>
          <w:rFonts w:ascii="Times New Roman"/>
          <w:b w:val="false"/>
          <w:i w:val="false"/>
          <w:color w:val="000000"/>
          <w:sz w:val="28"/>
        </w:rPr>
        <w:t>
      По ихтиологическим исследованиям, количество точки отбора проб ФЭИ с постановкой рыбных сетей должно быть не менее тридцати процентов, а траловых постановок не менее пятидесяти процентов от общего количества точки отбора проб ФЭИ.</w:t>
      </w:r>
    </w:p>
    <w:p>
      <w:pPr>
        <w:spacing w:after="0"/>
        <w:ind w:left="0"/>
        <w:jc w:val="both"/>
      </w:pPr>
      <w:r>
        <w:rPr>
          <w:rFonts w:ascii="Times New Roman"/>
          <w:b w:val="false"/>
          <w:i w:val="false"/>
          <w:color w:val="000000"/>
          <w:sz w:val="28"/>
        </w:rPr>
        <w:t>
      Для всех видов рыб: видовой состав рыб в уловах, улов на усилие/га по видам рыб и орудиям лова, наличия редких видов рыб, размерные структуры.</w:t>
      </w:r>
    </w:p>
    <w:p>
      <w:pPr>
        <w:spacing w:after="0"/>
        <w:ind w:left="0"/>
        <w:jc w:val="both"/>
      </w:pPr>
      <w:r>
        <w:rPr>
          <w:rFonts w:ascii="Times New Roman"/>
          <w:b w:val="false"/>
          <w:i w:val="false"/>
          <w:color w:val="000000"/>
          <w:sz w:val="28"/>
        </w:rPr>
        <w:t>
      Для целевых видов рыб (многочисленные, постоянные представители местного ихтиологического сообщества) индивидуальные биологические характеристики рыб (Q-общая масса, q-масса тела без внутренностей, L-общая длина рыбы, l-длина рыбы без хвостового плавника, пол, стадия зрелости, возраст), при поимке самок на IV стадии зрелости определяется абсолютная индивидуальная плодовитость, темпы линейного роста, наличие отклонений (уродств) от типичного морфологического облика вида, наличие внешних паразитов, их локализация и количество (следует учитывать только паразитов видных невооруженным глазом), наличие полостных паразитов, их количество и вес.</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10) орнитофауна.</w:t>
      </w:r>
    </w:p>
    <w:p>
      <w:pPr>
        <w:spacing w:after="0"/>
        <w:ind w:left="0"/>
        <w:jc w:val="both"/>
      </w:pPr>
      <w:r>
        <w:rPr>
          <w:rFonts w:ascii="Times New Roman"/>
          <w:b w:val="false"/>
          <w:i w:val="false"/>
          <w:color w:val="000000"/>
          <w:sz w:val="28"/>
        </w:rPr>
        <w:t>
      Видовой состав (число и список видов), численность, характер пребывания и особенности размещения на исследуемой территории; сезонная и многолетняя динамика этих показателей.</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11) тюлени.</w:t>
      </w:r>
    </w:p>
    <w:p>
      <w:pPr>
        <w:spacing w:after="0"/>
        <w:ind w:left="0"/>
        <w:jc w:val="both"/>
      </w:pPr>
      <w:r>
        <w:rPr>
          <w:rFonts w:ascii="Times New Roman"/>
          <w:b w:val="false"/>
          <w:i w:val="false"/>
          <w:color w:val="000000"/>
          <w:sz w:val="28"/>
        </w:rPr>
        <w:t>
      Численность, характер пребывания и особенности размещения на контролируемой территории, сезонная и многолетняя динамика этих показателей под воздействием природных и антропогенных (техногенных) факторов. На маршрутах судов, выполняющих ФЭИ, отмечаются места расположения (встреч) тюленей с помощью GPS, их количество, характер пребывания и поведение, проведение фото-видео съемки.</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