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dc49" w14:textId="774d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21 июля 2015 года № 555. Зарегистрирован в Министерстве юстиции Республики Казахстан 25 сентября 2015 года № 12114. Утратил силу приказом Министра промышленности и строительства Республики Казахстан от 29 августа 2025 года № 335.</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29.08.2025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37-1 Водного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26 августа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2015 года № 555</w:t>
            </w:r>
          </w:p>
        </w:tc>
      </w:tr>
    </w:tbl>
    <w:bookmarkStart w:name="z7" w:id="5"/>
    <w:p>
      <w:pPr>
        <w:spacing w:after="0"/>
        <w:ind w:left="0"/>
        <w:jc w:val="left"/>
      </w:pPr>
      <w:r>
        <w:rPr>
          <w:rFonts w:ascii="Times New Roman"/>
          <w:b/>
          <w:i w:val="false"/>
          <w:color w:val="000000"/>
        </w:rPr>
        <w:t xml:space="preserve"> Правила предоставления в аренду и доверительное управление</w:t>
      </w:r>
      <w:r>
        <w:br/>
      </w:r>
      <w:r>
        <w:rPr>
          <w:rFonts w:ascii="Times New Roman"/>
          <w:b/>
          <w:i w:val="false"/>
          <w:color w:val="000000"/>
        </w:rPr>
        <w:t>водохозяйственных сооружений, обеспечивающих водоснабжение</w:t>
      </w:r>
      <w:r>
        <w:br/>
      </w:r>
      <w:r>
        <w:rPr>
          <w:rFonts w:ascii="Times New Roman"/>
          <w:b/>
          <w:i w:val="false"/>
          <w:color w:val="000000"/>
        </w:rPr>
        <w:t>городов и сельских населенных пунктов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в аренду и доверительное управление водохозяйственных сооружений, обеспечивающих водоснабжение и водоотведение городов и сельских населенных пунктов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37-1 Водного кодекса Республики Казахстан от 9 июля 2003 года и определяют порядок предоставления в аренду и доверительное управление водохозяйственных сооружений (далее - объект аренды (доверительного управления), находящихся в коммунальной собственности, обеспечивающих водоснабжение и водоотведение городов и сельских населенных пунктов.</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1" w:id="8"/>
    <w:p>
      <w:pPr>
        <w:spacing w:after="0"/>
        <w:ind w:left="0"/>
        <w:jc w:val="both"/>
      </w:pPr>
      <w:r>
        <w:rPr>
          <w:rFonts w:ascii="Times New Roman"/>
          <w:b w:val="false"/>
          <w:i w:val="false"/>
          <w:color w:val="000000"/>
          <w:sz w:val="28"/>
        </w:rPr>
        <w:t>
      1) орган управления – местный исполнительный орган (исполнительный орган финансируемый из местного бюджета),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8"/>
    <w:p>
      <w:pPr>
        <w:spacing w:after="0"/>
        <w:ind w:left="0"/>
        <w:jc w:val="both"/>
      </w:pPr>
      <w:r>
        <w:rPr>
          <w:rFonts w:ascii="Times New Roman"/>
          <w:b w:val="false"/>
          <w:i w:val="false"/>
          <w:color w:val="000000"/>
          <w:sz w:val="28"/>
        </w:rPr>
        <w:t>
      2) участник тендера по аренде (доверительному управлению) – негосударственное юридическое лицо, а также физическое лицо, допущенные к участию в тендере;</w:t>
      </w:r>
    </w:p>
    <w:bookmarkStart w:name="z12" w:id="9"/>
    <w:p>
      <w:pPr>
        <w:spacing w:after="0"/>
        <w:ind w:left="0"/>
        <w:jc w:val="both"/>
      </w:pPr>
      <w:r>
        <w:rPr>
          <w:rFonts w:ascii="Times New Roman"/>
          <w:b w:val="false"/>
          <w:i w:val="false"/>
          <w:color w:val="000000"/>
          <w:sz w:val="28"/>
        </w:rPr>
        <w:t>
      3) объект аренды (доверительного управления) – имущественный комплекс, пакеты акций (доли участия) водохозяйственных организаций обеспечивающих водоснабжение городов и сельских населенных пунктов, а также системы водоснабжения и водоотведения обеспечивающих водоснабжение городов и сельских населенных пунктов или их элементы;</w:t>
      </w:r>
    </w:p>
    <w:bookmarkEnd w:id="9"/>
    <w:bookmarkStart w:name="z13" w:id="10"/>
    <w:p>
      <w:pPr>
        <w:spacing w:after="0"/>
        <w:ind w:left="0"/>
        <w:jc w:val="both"/>
      </w:pPr>
      <w:r>
        <w:rPr>
          <w:rFonts w:ascii="Times New Roman"/>
          <w:b w:val="false"/>
          <w:i w:val="false"/>
          <w:color w:val="000000"/>
          <w:sz w:val="28"/>
        </w:rPr>
        <w:t>
      4) балансодержатель объекта аренды – государственное юридическое лицо, за которым объект аренды закреплен на праве оперативного управления или хозяйственного ведения;</w:t>
      </w:r>
    </w:p>
    <w:bookmarkEnd w:id="10"/>
    <w:bookmarkStart w:name="z14"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договор аренды</w:t>
      </w:r>
      <w:r>
        <w:rPr>
          <w:rFonts w:ascii="Times New Roman"/>
          <w:b w:val="false"/>
          <w:i w:val="false"/>
          <w:color w:val="000000"/>
          <w:sz w:val="28"/>
        </w:rPr>
        <w:t xml:space="preserve"> (</w:t>
      </w:r>
      <w:r>
        <w:rPr>
          <w:rFonts w:ascii="Times New Roman"/>
          <w:b w:val="false"/>
          <w:i w:val="false"/>
          <w:color w:val="000000"/>
          <w:sz w:val="28"/>
        </w:rPr>
        <w:t>доверительного управления</w:t>
      </w:r>
      <w:r>
        <w:rPr>
          <w:rFonts w:ascii="Times New Roman"/>
          <w:b w:val="false"/>
          <w:i w:val="false"/>
          <w:color w:val="000000"/>
          <w:sz w:val="28"/>
        </w:rPr>
        <w:t>) – договор аренды (доверительного управления) объектом, заключенный между арендодателем (учредителем доверительного управления) и арендатором (доверительным управляющим);</w:t>
      </w:r>
    </w:p>
    <w:bookmarkEnd w:id="11"/>
    <w:bookmarkStart w:name="z15"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тендер</w:t>
      </w:r>
      <w:r>
        <w:rPr>
          <w:rFonts w:ascii="Times New Roman"/>
          <w:b w:val="false"/>
          <w:i w:val="false"/>
          <w:color w:val="000000"/>
          <w:sz w:val="28"/>
        </w:rPr>
        <w:t xml:space="preserve"> по аренде – форма торгов по предоставлению в аренду объектов, проводимых с использованием веб-портала реестра в электронном формате, при которых арендодатель обязуется на основе принятых им исходных условий заключить договор аренды с тем из участников тендера, который предложит лучшие для арендодателя условия договора аренды;</w:t>
      </w:r>
    </w:p>
    <w:bookmarkEnd w:id="12"/>
    <w:bookmarkStart w:name="z16" w:id="13"/>
    <w:p>
      <w:pPr>
        <w:spacing w:after="0"/>
        <w:ind w:left="0"/>
        <w:jc w:val="both"/>
      </w:pPr>
      <w:r>
        <w:rPr>
          <w:rFonts w:ascii="Times New Roman"/>
          <w:b w:val="false"/>
          <w:i w:val="false"/>
          <w:color w:val="000000"/>
          <w:sz w:val="28"/>
        </w:rPr>
        <w:t>
      7) арендодатель (учредитель доверительного управления) – местный исполнительный орган;</w:t>
      </w:r>
    </w:p>
    <w:bookmarkEnd w:id="13"/>
    <w:bookmarkStart w:name="z17" w:id="14"/>
    <w:p>
      <w:pPr>
        <w:spacing w:after="0"/>
        <w:ind w:left="0"/>
        <w:jc w:val="both"/>
      </w:pPr>
      <w:r>
        <w:rPr>
          <w:rFonts w:ascii="Times New Roman"/>
          <w:b w:val="false"/>
          <w:i w:val="false"/>
          <w:color w:val="000000"/>
          <w:sz w:val="28"/>
        </w:rPr>
        <w:t>
      8) арендатор (доверительный управляющий) – негосударственные юридические и физические лица, заключившие договор аренды (доверительного управления) с арендодателем (учредителем доверительного управления);</w:t>
      </w:r>
    </w:p>
    <w:bookmarkEnd w:id="14"/>
    <w:bookmarkStart w:name="z18" w:id="15"/>
    <w:p>
      <w:pPr>
        <w:spacing w:after="0"/>
        <w:ind w:left="0"/>
        <w:jc w:val="both"/>
      </w:pPr>
      <w:r>
        <w:rPr>
          <w:rFonts w:ascii="Times New Roman"/>
          <w:b w:val="false"/>
          <w:i w:val="false"/>
          <w:color w:val="000000"/>
          <w:sz w:val="28"/>
        </w:rPr>
        <w:t>
      9) гарантийный взнос – денежная сумма, вносимая физическим или негосударственным юридическим лицом для участия в тендере по аренде (доверительному управлению);</w:t>
      </w:r>
    </w:p>
    <w:bookmarkEnd w:id="15"/>
    <w:bookmarkStart w:name="z19"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тендер</w:t>
      </w:r>
      <w:r>
        <w:rPr>
          <w:rFonts w:ascii="Times New Roman"/>
          <w:b w:val="false"/>
          <w:i w:val="false"/>
          <w:color w:val="000000"/>
          <w:sz w:val="28"/>
        </w:rPr>
        <w:t xml:space="preserve"> по доверительному управлению – форма торгов по передаче в доверительное управление объекта доверительного управления, при которой учредитель доверительного управления обязуется на основе предложенных им исходных условий заключить договор с тем из участников тендера по доверительному управлению, кто предложит лучшие для учредителя доверительного управления условия договора;</w:t>
      </w:r>
    </w:p>
    <w:bookmarkEnd w:id="16"/>
    <w:bookmarkStart w:name="z20" w:id="17"/>
    <w:p>
      <w:pPr>
        <w:spacing w:after="0"/>
        <w:ind w:left="0"/>
        <w:jc w:val="both"/>
      </w:pPr>
      <w:r>
        <w:rPr>
          <w:rFonts w:ascii="Times New Roman"/>
          <w:b w:val="false"/>
          <w:i w:val="false"/>
          <w:color w:val="000000"/>
          <w:sz w:val="28"/>
        </w:rPr>
        <w:t>
      11) веб-портал реестра – интернет-ресурс, размещенный в сети Интернет по адресу www.gosreestr.kz, предоставляющий единую точку доступа к электронной базе данных по договорам аренды государственного имущества (далее – реестр).</w:t>
      </w:r>
    </w:p>
    <w:bookmarkEnd w:id="17"/>
    <w:bookmarkStart w:name="z21" w:id="18"/>
    <w:p>
      <w:pPr>
        <w:spacing w:after="0"/>
        <w:ind w:left="0"/>
        <w:jc w:val="left"/>
      </w:pPr>
      <w:r>
        <w:rPr>
          <w:rFonts w:ascii="Times New Roman"/>
          <w:b/>
          <w:i w:val="false"/>
          <w:color w:val="000000"/>
        </w:rPr>
        <w:t xml:space="preserve"> 2. Порядок предоставления объектов аренды (доверительного</w:t>
      </w:r>
      <w:r>
        <w:br/>
      </w:r>
      <w:r>
        <w:rPr>
          <w:rFonts w:ascii="Times New Roman"/>
          <w:b/>
          <w:i w:val="false"/>
          <w:color w:val="000000"/>
        </w:rPr>
        <w:t>управления), обеспечивающих водоснабжение городов и сельских</w:t>
      </w:r>
      <w:r>
        <w:br/>
      </w:r>
      <w:r>
        <w:rPr>
          <w:rFonts w:ascii="Times New Roman"/>
          <w:b/>
          <w:i w:val="false"/>
          <w:color w:val="000000"/>
        </w:rPr>
        <w:t>населенных пунктов, в аренду (доверительное управление)</w:t>
      </w:r>
    </w:p>
    <w:bookmarkEnd w:id="18"/>
    <w:bookmarkStart w:name="z22" w:id="19"/>
    <w:p>
      <w:pPr>
        <w:spacing w:after="0"/>
        <w:ind w:left="0"/>
        <w:jc w:val="both"/>
      </w:pPr>
      <w:r>
        <w:rPr>
          <w:rFonts w:ascii="Times New Roman"/>
          <w:b w:val="false"/>
          <w:i w:val="false"/>
          <w:color w:val="000000"/>
          <w:sz w:val="28"/>
        </w:rPr>
        <w:t>
      3. Решение о передаче объекта аренды (доверительного управления) принимается арендодателем (учредителем доверительного управления). Объекты аренды (доверительного управления), передаются в аренду (доверительное управление) без права последующего выкупа, на срок от пяти до сорока девяти лет, в зависимости от их сроков эксплуатации.</w:t>
      </w:r>
    </w:p>
    <w:bookmarkEnd w:id="19"/>
    <w:bookmarkStart w:name="z23"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Договор аренды</w:t>
      </w:r>
      <w:r>
        <w:rPr>
          <w:rFonts w:ascii="Times New Roman"/>
          <w:b w:val="false"/>
          <w:i w:val="false"/>
          <w:color w:val="000000"/>
          <w:sz w:val="28"/>
        </w:rPr>
        <w:t xml:space="preserve"> (</w:t>
      </w:r>
      <w:r>
        <w:rPr>
          <w:rFonts w:ascii="Times New Roman"/>
          <w:b w:val="false"/>
          <w:i w:val="false"/>
          <w:color w:val="000000"/>
          <w:sz w:val="28"/>
        </w:rPr>
        <w:t>доверительного управления</w:t>
      </w:r>
      <w:r>
        <w:rPr>
          <w:rFonts w:ascii="Times New Roman"/>
          <w:b w:val="false"/>
          <w:i w:val="false"/>
          <w:color w:val="000000"/>
          <w:sz w:val="28"/>
        </w:rPr>
        <w:t>) считается прекращенным по истечении установленного договором срока.</w:t>
      </w:r>
    </w:p>
    <w:bookmarkEnd w:id="20"/>
    <w:bookmarkStart w:name="z24" w:id="21"/>
    <w:p>
      <w:pPr>
        <w:spacing w:after="0"/>
        <w:ind w:left="0"/>
        <w:jc w:val="both"/>
      </w:pPr>
      <w:r>
        <w:rPr>
          <w:rFonts w:ascii="Times New Roman"/>
          <w:b w:val="false"/>
          <w:i w:val="false"/>
          <w:color w:val="000000"/>
          <w:sz w:val="28"/>
        </w:rPr>
        <w:t>
      5. Предоставление объектов аренды (доверительного управления) осуществляется на тендерной основе.</w:t>
      </w:r>
    </w:p>
    <w:bookmarkEnd w:id="21"/>
    <w:bookmarkStart w:name="z25" w:id="22"/>
    <w:p>
      <w:pPr>
        <w:spacing w:after="0"/>
        <w:ind w:left="0"/>
        <w:jc w:val="both"/>
      </w:pPr>
      <w:r>
        <w:rPr>
          <w:rFonts w:ascii="Times New Roman"/>
          <w:b w:val="false"/>
          <w:i w:val="false"/>
          <w:color w:val="000000"/>
          <w:sz w:val="28"/>
        </w:rPr>
        <w:t>
      6. Обязательным условием предоставления объектов аренды (доверительного управления) в аренду (доверительное управление) является сохранение их дальнейшего использования по целевому назначению.</w:t>
      </w:r>
    </w:p>
    <w:bookmarkEnd w:id="22"/>
    <w:bookmarkStart w:name="z26" w:id="23"/>
    <w:p>
      <w:pPr>
        <w:spacing w:after="0"/>
        <w:ind w:left="0"/>
        <w:jc w:val="both"/>
      </w:pPr>
      <w:r>
        <w:rPr>
          <w:rFonts w:ascii="Times New Roman"/>
          <w:b w:val="false"/>
          <w:i w:val="false"/>
          <w:color w:val="000000"/>
          <w:sz w:val="28"/>
        </w:rPr>
        <w:t>
      7. При передаче в аренду (доверительное управление) объектов аренды (доверительного управления) устанавливаются условия по:</w:t>
      </w:r>
    </w:p>
    <w:bookmarkEnd w:id="23"/>
    <w:p>
      <w:pPr>
        <w:spacing w:after="0"/>
        <w:ind w:left="0"/>
        <w:jc w:val="both"/>
      </w:pPr>
      <w:r>
        <w:rPr>
          <w:rFonts w:ascii="Times New Roman"/>
          <w:b w:val="false"/>
          <w:i w:val="false"/>
          <w:color w:val="000000"/>
          <w:sz w:val="28"/>
        </w:rPr>
        <w:t>
      обеспечению сохранения технологического цикла;</w:t>
      </w:r>
    </w:p>
    <w:p>
      <w:pPr>
        <w:spacing w:after="0"/>
        <w:ind w:left="0"/>
        <w:jc w:val="both"/>
      </w:pPr>
      <w:r>
        <w:rPr>
          <w:rFonts w:ascii="Times New Roman"/>
          <w:b w:val="false"/>
          <w:i w:val="false"/>
          <w:color w:val="000000"/>
          <w:sz w:val="28"/>
        </w:rPr>
        <w:t xml:space="preserve">
      обеспечению надлежащей </w:t>
      </w:r>
      <w:r>
        <w:rPr>
          <w:rFonts w:ascii="Times New Roman"/>
          <w:b w:val="false"/>
          <w:i w:val="false"/>
          <w:color w:val="000000"/>
          <w:sz w:val="28"/>
        </w:rPr>
        <w:t>эксплуатации</w:t>
      </w:r>
      <w:r>
        <w:rPr>
          <w:rFonts w:ascii="Times New Roman"/>
          <w:b w:val="false"/>
          <w:i w:val="false"/>
          <w:color w:val="000000"/>
          <w:sz w:val="28"/>
        </w:rPr>
        <w:t xml:space="preserve"> систем водоснабжения и водоотведения, сокращению потерь;</w:t>
      </w:r>
    </w:p>
    <w:p>
      <w:pPr>
        <w:spacing w:after="0"/>
        <w:ind w:left="0"/>
        <w:jc w:val="both"/>
      </w:pPr>
      <w:r>
        <w:rPr>
          <w:rFonts w:ascii="Times New Roman"/>
          <w:b w:val="false"/>
          <w:i w:val="false"/>
          <w:color w:val="000000"/>
          <w:sz w:val="28"/>
        </w:rPr>
        <w:t>
      внедрению передовых технологий, энергоэффективного оборудования;</w:t>
      </w:r>
    </w:p>
    <w:p>
      <w:pPr>
        <w:spacing w:after="0"/>
        <w:ind w:left="0"/>
        <w:jc w:val="both"/>
      </w:pPr>
      <w:r>
        <w:rPr>
          <w:rFonts w:ascii="Times New Roman"/>
          <w:b w:val="false"/>
          <w:i w:val="false"/>
          <w:color w:val="000000"/>
          <w:sz w:val="28"/>
        </w:rPr>
        <w:t>
      проведению природоохранных мероприятий;</w:t>
      </w:r>
    </w:p>
    <w:p>
      <w:pPr>
        <w:spacing w:after="0"/>
        <w:ind w:left="0"/>
        <w:jc w:val="both"/>
      </w:pPr>
      <w:r>
        <w:rPr>
          <w:rFonts w:ascii="Times New Roman"/>
          <w:b w:val="false"/>
          <w:i w:val="false"/>
          <w:color w:val="000000"/>
          <w:sz w:val="28"/>
        </w:rPr>
        <w:t>
      сохранению существующего количества или создания новых рабочих мест;</w:t>
      </w:r>
    </w:p>
    <w:p>
      <w:pPr>
        <w:spacing w:after="0"/>
        <w:ind w:left="0"/>
        <w:jc w:val="both"/>
      </w:pPr>
      <w:r>
        <w:rPr>
          <w:rFonts w:ascii="Times New Roman"/>
          <w:b w:val="false"/>
          <w:i w:val="false"/>
          <w:color w:val="000000"/>
          <w:sz w:val="28"/>
        </w:rPr>
        <w:t>
      совершению сделок и (или) запрещению определенных действий в отношении объекта доверительного управления в течение определенного периода времени;</w:t>
      </w:r>
    </w:p>
    <w:p>
      <w:pPr>
        <w:spacing w:after="0"/>
        <w:ind w:left="0"/>
        <w:jc w:val="both"/>
      </w:pPr>
      <w:r>
        <w:rPr>
          <w:rFonts w:ascii="Times New Roman"/>
          <w:b w:val="false"/>
          <w:i w:val="false"/>
          <w:color w:val="000000"/>
          <w:sz w:val="28"/>
        </w:rPr>
        <w:t>
      проведение антитеррористических мероприятий на объектах аренды (доверительного управления).</w:t>
      </w:r>
    </w:p>
    <w:bookmarkStart w:name="z27" w:id="24"/>
    <w:p>
      <w:pPr>
        <w:spacing w:after="0"/>
        <w:ind w:left="0"/>
        <w:jc w:val="both"/>
      </w:pPr>
      <w:r>
        <w:rPr>
          <w:rFonts w:ascii="Times New Roman"/>
          <w:b w:val="false"/>
          <w:i w:val="false"/>
          <w:color w:val="000000"/>
          <w:sz w:val="28"/>
        </w:rPr>
        <w:t>
      8. Объекты аренды (доверительного управления) предоставляются в аренду (доверительное управление) в пределах городов и сельских населенных пунктов.</w:t>
      </w:r>
    </w:p>
    <w:bookmarkEnd w:id="24"/>
    <w:bookmarkStart w:name="z28" w:id="25"/>
    <w:p>
      <w:pPr>
        <w:spacing w:after="0"/>
        <w:ind w:left="0"/>
        <w:jc w:val="both"/>
      </w:pPr>
      <w:r>
        <w:rPr>
          <w:rFonts w:ascii="Times New Roman"/>
          <w:b w:val="false"/>
          <w:i w:val="false"/>
          <w:color w:val="000000"/>
          <w:sz w:val="28"/>
        </w:rPr>
        <w:t>
      9. Объект аренды (доверительного управления) в аренду (доверительное управление) передает арендодатель (учредитель доверительного управления).</w:t>
      </w:r>
    </w:p>
    <w:bookmarkEnd w:id="25"/>
    <w:bookmarkStart w:name="z29" w:id="26"/>
    <w:p>
      <w:pPr>
        <w:spacing w:after="0"/>
        <w:ind w:left="0"/>
        <w:jc w:val="both"/>
      </w:pPr>
      <w:r>
        <w:rPr>
          <w:rFonts w:ascii="Times New Roman"/>
          <w:b w:val="false"/>
          <w:i w:val="false"/>
          <w:color w:val="000000"/>
          <w:sz w:val="28"/>
        </w:rPr>
        <w:t xml:space="preserve">
      10. Балансодержатель объекта аренды для передачи объекта аренды  предоставляет арендодателю (учредителю доверительного управления) информацию об объектах, содержащую его название, количество, единицу измерения, краткую характеристику, местонахождение, срок предоставления в аренду, целевое назначение (далее - информация). К информации балансодержатель объекта аренды прикладывает отчет об оценке объекта аренды, выполненный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от 30 ноября 2000 года, выданный не ранее шести месяцев с даты предоставления информации.</w:t>
      </w:r>
    </w:p>
    <w:bookmarkEnd w:id="26"/>
    <w:p>
      <w:pPr>
        <w:spacing w:after="0"/>
        <w:ind w:left="0"/>
        <w:jc w:val="both"/>
      </w:pPr>
      <w:r>
        <w:rPr>
          <w:rFonts w:ascii="Times New Roman"/>
          <w:b w:val="false"/>
          <w:i w:val="false"/>
          <w:color w:val="000000"/>
          <w:sz w:val="28"/>
        </w:rPr>
        <w:t>
      Достоверность информации обеспечивается балансодержателем объекта аренды.</w:t>
      </w:r>
    </w:p>
    <w:p>
      <w:pPr>
        <w:spacing w:after="0"/>
        <w:ind w:left="0"/>
        <w:jc w:val="both"/>
      </w:pPr>
      <w:r>
        <w:rPr>
          <w:rFonts w:ascii="Times New Roman"/>
          <w:b w:val="false"/>
          <w:i w:val="false"/>
          <w:color w:val="000000"/>
          <w:sz w:val="28"/>
        </w:rPr>
        <w:t>
      Арендодателем информация рассматривается в течение десяти календарных дней, с момента ее предоставления.</w:t>
      </w:r>
    </w:p>
    <w:p>
      <w:pPr>
        <w:spacing w:after="0"/>
        <w:ind w:left="0"/>
        <w:jc w:val="both"/>
      </w:pPr>
      <w:r>
        <w:rPr>
          <w:rFonts w:ascii="Times New Roman"/>
          <w:b w:val="false"/>
          <w:i w:val="false"/>
          <w:color w:val="000000"/>
          <w:sz w:val="28"/>
        </w:rPr>
        <w:t>
      По результатам рассмотрения информации, арендодателем принимается одно из следующих решений:</w:t>
      </w:r>
    </w:p>
    <w:p>
      <w:pPr>
        <w:spacing w:after="0"/>
        <w:ind w:left="0"/>
        <w:jc w:val="both"/>
      </w:pPr>
      <w:r>
        <w:rPr>
          <w:rFonts w:ascii="Times New Roman"/>
          <w:b w:val="false"/>
          <w:i w:val="false"/>
          <w:color w:val="000000"/>
          <w:sz w:val="28"/>
        </w:rPr>
        <w:t>
      1) о сдаче объекта аренды;</w:t>
      </w:r>
    </w:p>
    <w:p>
      <w:pPr>
        <w:spacing w:after="0"/>
        <w:ind w:left="0"/>
        <w:jc w:val="both"/>
      </w:pPr>
      <w:r>
        <w:rPr>
          <w:rFonts w:ascii="Times New Roman"/>
          <w:b w:val="false"/>
          <w:i w:val="false"/>
          <w:color w:val="000000"/>
          <w:sz w:val="28"/>
        </w:rPr>
        <w:t>
      2) об отказе в сдаче объекта аренды.</w:t>
      </w:r>
    </w:p>
    <w:bookmarkStart w:name="z30" w:id="27"/>
    <w:p>
      <w:pPr>
        <w:spacing w:after="0"/>
        <w:ind w:left="0"/>
        <w:jc w:val="both"/>
      </w:pPr>
      <w:r>
        <w:rPr>
          <w:rFonts w:ascii="Times New Roman"/>
          <w:b w:val="false"/>
          <w:i w:val="false"/>
          <w:color w:val="000000"/>
          <w:sz w:val="28"/>
        </w:rPr>
        <w:t xml:space="preserve">
      11. Арендодатель в течение пятнадцати календарных дней после принятия решения о сдаче объекта в аренду по результатам рассмотрения информации, предоставленной балансодержателем объекта аренды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обеспечивает размещение в Реестре следующей информации:</w:t>
      </w:r>
    </w:p>
    <w:bookmarkEnd w:id="27"/>
    <w:p>
      <w:pPr>
        <w:spacing w:after="0"/>
        <w:ind w:left="0"/>
        <w:jc w:val="both"/>
      </w:pPr>
      <w:r>
        <w:rPr>
          <w:rFonts w:ascii="Times New Roman"/>
          <w:b w:val="false"/>
          <w:i w:val="false"/>
          <w:color w:val="000000"/>
          <w:sz w:val="28"/>
        </w:rPr>
        <w:t>
      1) сведений об объекте аренды с указанием названия, количества, единицы измерения, краткой характеристики, местонахождения, срока предоставления в аренду, целевого назначения;</w:t>
      </w:r>
    </w:p>
    <w:p>
      <w:pPr>
        <w:spacing w:after="0"/>
        <w:ind w:left="0"/>
        <w:jc w:val="both"/>
      </w:pPr>
      <w:r>
        <w:rPr>
          <w:rFonts w:ascii="Times New Roman"/>
          <w:b w:val="false"/>
          <w:i w:val="false"/>
          <w:color w:val="000000"/>
          <w:sz w:val="28"/>
        </w:rPr>
        <w:t>
      2) сведений о собственнике и балансодержателе объекта аренды (почтовый адрес, телефон, факс, электронный адрес);</w:t>
      </w:r>
    </w:p>
    <w:p>
      <w:pPr>
        <w:spacing w:after="0"/>
        <w:ind w:left="0"/>
        <w:jc w:val="both"/>
      </w:pPr>
      <w:r>
        <w:rPr>
          <w:rFonts w:ascii="Times New Roman"/>
          <w:b w:val="false"/>
          <w:i w:val="false"/>
          <w:color w:val="000000"/>
          <w:sz w:val="28"/>
        </w:rPr>
        <w:t>
      3) сведений о передаче объекта в аренду путем проведения тендера по аренде.</w:t>
      </w:r>
    </w:p>
    <w:bookmarkStart w:name="z31" w:id="28"/>
    <w:p>
      <w:pPr>
        <w:spacing w:after="0"/>
        <w:ind w:left="0"/>
        <w:jc w:val="both"/>
      </w:pPr>
      <w:r>
        <w:rPr>
          <w:rFonts w:ascii="Times New Roman"/>
          <w:b w:val="false"/>
          <w:i w:val="false"/>
          <w:color w:val="000000"/>
          <w:sz w:val="28"/>
        </w:rPr>
        <w:t>
      12. Орган управления предоставляет учредителю доверительного управления учредительные документы юридического лица, акции (доли) либо имущественный комплекс которого являются объектом доверительного управления, информацию о финансово-хозяйственной деятельности за последние три финансовых года, предложения об установлении условий по передаче объекта в доверительное управление без права последующего выкупа и требований к участникам тендера.</w:t>
      </w:r>
    </w:p>
    <w:bookmarkEnd w:id="28"/>
    <w:p>
      <w:pPr>
        <w:spacing w:after="0"/>
        <w:ind w:left="0"/>
        <w:jc w:val="both"/>
      </w:pPr>
      <w:r>
        <w:rPr>
          <w:rFonts w:ascii="Times New Roman"/>
          <w:b w:val="false"/>
          <w:i w:val="false"/>
          <w:color w:val="000000"/>
          <w:sz w:val="28"/>
        </w:rPr>
        <w:t>
      По иным объектам орган управления предоставляет учредителю доверительного управления характеристику объекта, сведения о балансовой стоимости объекта и предложения об установлении условий по передаче объекта в доверительное управление без права последующего выкупа и требований к участникам тендера с учетом специфики деятельности.</w:t>
      </w:r>
    </w:p>
    <w:bookmarkStart w:name="z38" w:id="29"/>
    <w:p>
      <w:pPr>
        <w:spacing w:after="0"/>
        <w:ind w:left="0"/>
        <w:jc w:val="both"/>
      </w:pPr>
      <w:r>
        <w:rPr>
          <w:rFonts w:ascii="Times New Roman"/>
          <w:b w:val="false"/>
          <w:i w:val="false"/>
          <w:color w:val="000000"/>
          <w:sz w:val="28"/>
        </w:rPr>
        <w:t>
      13.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представляют сведения, необходимые для подготовки объекта к передаче в доверительное управление в течение семи рабочих дней.</w:t>
      </w:r>
    </w:p>
    <w:bookmarkEnd w:id="29"/>
    <w:bookmarkStart w:name="z39" w:id="30"/>
    <w:p>
      <w:pPr>
        <w:spacing w:after="0"/>
        <w:ind w:left="0"/>
        <w:jc w:val="both"/>
      </w:pPr>
      <w:r>
        <w:rPr>
          <w:rFonts w:ascii="Times New Roman"/>
          <w:b w:val="false"/>
          <w:i w:val="false"/>
          <w:color w:val="000000"/>
          <w:sz w:val="28"/>
        </w:rPr>
        <w:t xml:space="preserve">
      14. Минимальная ставка ежегодной арендной платы по объекту аренды составляет 0,1 процента от оценочной стоимости, передаваемых в аренду, подтвержденных отчетом об оценке, указанном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Гарантийный взнос для участия в тендере по аренде устанавливается в размере месячной арендной платы. </w:t>
      </w:r>
    </w:p>
    <w:bookmarkEnd w:id="30"/>
    <w:bookmarkStart w:name="z32" w:id="31"/>
    <w:p>
      <w:pPr>
        <w:spacing w:after="0"/>
        <w:ind w:left="0"/>
        <w:jc w:val="both"/>
      </w:pPr>
      <w:r>
        <w:rPr>
          <w:rFonts w:ascii="Times New Roman"/>
          <w:b w:val="false"/>
          <w:i w:val="false"/>
          <w:color w:val="000000"/>
          <w:sz w:val="28"/>
        </w:rPr>
        <w:t>
      15. Гарантийный взнос для участия в тендере по доверительному управлению устанавливается для каждого объекта доверительного управления отдельно. В случае если стоимость активов не превышает 250000 месячных расчетных показателей, размер гарантийного взноса составит 0,5 процента от стоимости активов, передаваемых в доверительное управление, подтвержденных отчетом об оценке объекта доверительного управления, подготовленного учредителем доверительного управления. В случае если стоимость активов будет превышать 250000 месячных расчетных показателей, размер гарантийного взноса составит 0,1 процента от стоимости активов передаваемых в доверительное управление, подтвержденных отчетом об оценке, подготовленного учредителем доверительного управления.</w:t>
      </w:r>
    </w:p>
    <w:bookmarkEnd w:id="31"/>
    <w:bookmarkStart w:name="z33" w:id="32"/>
    <w:p>
      <w:pPr>
        <w:spacing w:after="0"/>
        <w:ind w:left="0"/>
        <w:jc w:val="both"/>
      </w:pPr>
      <w:r>
        <w:rPr>
          <w:rFonts w:ascii="Times New Roman"/>
          <w:b w:val="false"/>
          <w:i w:val="false"/>
          <w:color w:val="000000"/>
          <w:sz w:val="28"/>
        </w:rPr>
        <w:t xml:space="preserve">
      16. Порядок </w:t>
      </w:r>
      <w:r>
        <w:rPr>
          <w:rFonts w:ascii="Times New Roman"/>
          <w:b w:val="false"/>
          <w:i w:val="false"/>
          <w:color w:val="000000"/>
          <w:sz w:val="28"/>
        </w:rPr>
        <w:t>подготовки</w:t>
      </w:r>
      <w:r>
        <w:rPr>
          <w:rFonts w:ascii="Times New Roman"/>
          <w:b w:val="false"/>
          <w:i w:val="false"/>
          <w:color w:val="000000"/>
          <w:sz w:val="28"/>
        </w:rPr>
        <w:t xml:space="preserve"> к проведению, </w:t>
      </w:r>
      <w:r>
        <w:rPr>
          <w:rFonts w:ascii="Times New Roman"/>
          <w:b w:val="false"/>
          <w:i w:val="false"/>
          <w:color w:val="000000"/>
          <w:sz w:val="28"/>
        </w:rPr>
        <w:t>проведение</w:t>
      </w:r>
      <w:r>
        <w:rPr>
          <w:rFonts w:ascii="Times New Roman"/>
          <w:b w:val="false"/>
          <w:i w:val="false"/>
          <w:color w:val="000000"/>
          <w:sz w:val="28"/>
        </w:rPr>
        <w:t xml:space="preserve"> и </w:t>
      </w:r>
      <w:r>
        <w:rPr>
          <w:rFonts w:ascii="Times New Roman"/>
          <w:b w:val="false"/>
          <w:i w:val="false"/>
          <w:color w:val="000000"/>
          <w:sz w:val="28"/>
        </w:rPr>
        <w:t>оформления</w:t>
      </w:r>
      <w:r>
        <w:rPr>
          <w:rFonts w:ascii="Times New Roman"/>
          <w:b w:val="false"/>
          <w:i w:val="false"/>
          <w:color w:val="000000"/>
          <w:sz w:val="28"/>
        </w:rPr>
        <w:t xml:space="preserve"> результатов тендера по аренде устанавливаются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в имущественный наем (аренду), утвержденными приказом Министра национальной экономики Республики Казахстан от 17 марта 2015 года № 212, зарегистрированным в Реестре государственной регистрации нормативных правовых актов за № 10467 (далее – Правила имущественного найма), за исключением </w:t>
      </w:r>
      <w:r>
        <w:rPr>
          <w:rFonts w:ascii="Times New Roman"/>
          <w:b w:val="false"/>
          <w:i w:val="false"/>
          <w:color w:val="000000"/>
          <w:sz w:val="28"/>
        </w:rPr>
        <w:t>пункта 17</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третьей части </w:t>
      </w:r>
      <w:r>
        <w:rPr>
          <w:rFonts w:ascii="Times New Roman"/>
          <w:b w:val="false"/>
          <w:i w:val="false"/>
          <w:color w:val="000000"/>
          <w:sz w:val="28"/>
        </w:rPr>
        <w:t>пункта 29</w:t>
      </w:r>
      <w:r>
        <w:rPr>
          <w:rFonts w:ascii="Times New Roman"/>
          <w:b w:val="false"/>
          <w:i w:val="false"/>
          <w:color w:val="000000"/>
          <w:sz w:val="28"/>
        </w:rPr>
        <w:t xml:space="preserve"> и </w:t>
      </w:r>
      <w:r>
        <w:rPr>
          <w:rFonts w:ascii="Times New Roman"/>
          <w:b w:val="false"/>
          <w:i w:val="false"/>
          <w:color w:val="000000"/>
          <w:sz w:val="28"/>
        </w:rPr>
        <w:t>пункта 35</w:t>
      </w:r>
      <w:r>
        <w:rPr>
          <w:rFonts w:ascii="Times New Roman"/>
          <w:b w:val="false"/>
          <w:i w:val="false"/>
          <w:color w:val="000000"/>
          <w:sz w:val="28"/>
        </w:rPr>
        <w:t xml:space="preserve"> Правил имущественного найма.</w:t>
      </w:r>
    </w:p>
    <w:bookmarkEnd w:id="32"/>
    <w:bookmarkStart w:name="z34" w:id="33"/>
    <w:p>
      <w:pPr>
        <w:spacing w:after="0"/>
        <w:ind w:left="0"/>
        <w:jc w:val="both"/>
      </w:pPr>
      <w:r>
        <w:rPr>
          <w:rFonts w:ascii="Times New Roman"/>
          <w:b w:val="false"/>
          <w:i w:val="false"/>
          <w:color w:val="000000"/>
          <w:sz w:val="28"/>
        </w:rPr>
        <w:t xml:space="preserve">
      17. Порядок </w:t>
      </w:r>
      <w:r>
        <w:rPr>
          <w:rFonts w:ascii="Times New Roman"/>
          <w:b w:val="false"/>
          <w:i w:val="false"/>
          <w:color w:val="000000"/>
          <w:sz w:val="28"/>
        </w:rPr>
        <w:t>подготовки</w:t>
      </w:r>
      <w:r>
        <w:rPr>
          <w:rFonts w:ascii="Times New Roman"/>
          <w:b w:val="false"/>
          <w:i w:val="false"/>
          <w:color w:val="000000"/>
          <w:sz w:val="28"/>
        </w:rPr>
        <w:t xml:space="preserve"> к проведению тендера, </w:t>
      </w:r>
      <w:r>
        <w:rPr>
          <w:rFonts w:ascii="Times New Roman"/>
          <w:b w:val="false"/>
          <w:i w:val="false"/>
          <w:color w:val="000000"/>
          <w:sz w:val="28"/>
        </w:rPr>
        <w:t>содержание</w:t>
      </w:r>
      <w:r>
        <w:rPr>
          <w:rFonts w:ascii="Times New Roman"/>
          <w:b w:val="false"/>
          <w:i w:val="false"/>
          <w:color w:val="000000"/>
          <w:sz w:val="28"/>
        </w:rPr>
        <w:t xml:space="preserve">  тендерной документации, проведение, </w:t>
      </w:r>
      <w:r>
        <w:rPr>
          <w:rFonts w:ascii="Times New Roman"/>
          <w:b w:val="false"/>
          <w:i w:val="false"/>
          <w:color w:val="000000"/>
          <w:sz w:val="28"/>
        </w:rPr>
        <w:t>оформление</w:t>
      </w:r>
      <w:r>
        <w:rPr>
          <w:rFonts w:ascii="Times New Roman"/>
          <w:b w:val="false"/>
          <w:i w:val="false"/>
          <w:color w:val="000000"/>
          <w:sz w:val="28"/>
        </w:rPr>
        <w:t xml:space="preserve"> результатов тендера и содержание договора по доверительному управлению устанавливаются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в доверительное управление, утвержденными приказом Министра национальной экономики Республики Казахстан от 16 января 2015 года № 17, зарегистрированным в Реестре государственной регистрации нормативных правовых актов за № 10111 (далее – Правила доверительного управления), за исключением </w:t>
      </w:r>
      <w:r>
        <w:rPr>
          <w:rFonts w:ascii="Times New Roman"/>
          <w:b w:val="false"/>
          <w:i w:val="false"/>
          <w:color w:val="000000"/>
          <w:sz w:val="28"/>
        </w:rPr>
        <w:t>пункта 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подпункта 2) </w:t>
      </w:r>
      <w:r>
        <w:rPr>
          <w:rFonts w:ascii="Times New Roman"/>
          <w:b w:val="false"/>
          <w:i w:val="false"/>
          <w:color w:val="000000"/>
          <w:sz w:val="28"/>
        </w:rPr>
        <w:t>пункта 38</w:t>
      </w:r>
      <w:r>
        <w:rPr>
          <w:rFonts w:ascii="Times New Roman"/>
          <w:b w:val="false"/>
          <w:i w:val="false"/>
          <w:color w:val="000000"/>
          <w:sz w:val="28"/>
        </w:rPr>
        <w:t xml:space="preserve">, </w:t>
      </w:r>
      <w:r>
        <w:rPr>
          <w:rFonts w:ascii="Times New Roman"/>
          <w:b w:val="false"/>
          <w:i w:val="false"/>
          <w:color w:val="000000"/>
          <w:sz w:val="28"/>
        </w:rPr>
        <w:t>пунктов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Правил доверительного управления.</w:t>
      </w:r>
    </w:p>
    <w:bookmarkEnd w:id="33"/>
    <w:bookmarkStart w:name="z37" w:id="34"/>
    <w:p>
      <w:pPr>
        <w:spacing w:after="0"/>
        <w:ind w:left="0"/>
        <w:jc w:val="both"/>
      </w:pPr>
      <w:r>
        <w:rPr>
          <w:rFonts w:ascii="Times New Roman"/>
          <w:b w:val="false"/>
          <w:i w:val="false"/>
          <w:color w:val="000000"/>
          <w:sz w:val="28"/>
        </w:rPr>
        <w:t>
      18. В состав тендерной комиссии по аренде (доверительному управлению) включаются представители арендодателя (учредителя доверительного управления), балансодержателя объекта аренды, и иных заинтересованных организаций. Представители Национальной палаты предпринимателей Республики Казахстан "Атамекен" включаются в состав тендерной комиссии в качестве наблюдателей (без права последующего голосования и принятия решения). Число членов тендерной комиссии составляет не менее пяти человек. Комиссия создается решением арендодателя (учредителя доверительного управления). Секретарем комиссии является представитель арендодателя (учредителя доверительного управления). Секретарь тендерной комиссии не является членом тендерной комиссии и не имеет права голоса при принятии тендерной комиссией решений.</w:t>
      </w:r>
    </w:p>
    <w:bookmarkEnd w:id="34"/>
    <w:bookmarkStart w:name="z35" w:id="35"/>
    <w:p>
      <w:pPr>
        <w:spacing w:after="0"/>
        <w:ind w:left="0"/>
        <w:jc w:val="both"/>
      </w:pPr>
      <w:r>
        <w:rPr>
          <w:rFonts w:ascii="Times New Roman"/>
          <w:b w:val="false"/>
          <w:i w:val="false"/>
          <w:color w:val="000000"/>
          <w:sz w:val="28"/>
        </w:rPr>
        <w:t>
      19. В течение десяти рабочих дней после подписания договора аренды (доверительного управления) объект аренды (доверительного управления) передается арендодателю (доверительному управляющему) по акту приема-передачи объекта аренды (доверительного управления), составленный в произвольной форме.</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