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ad6a" w14:textId="05ea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к учебным изданиям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августа 2015 года № 611. Зарегистрирован в Министерстве юстиции Республики Казахстан 21 сентября 2015 года № 12089. Утратил силу приказом Министра здравоохранения Республики Казахстан от 2 декабря 2021 года № ҚР ДСМ-124.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гигиенические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учебным изданиям.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августа 2015 года № 611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к учебным изданиям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гигиенические нормативы к учебным изданиям (далее – Гигиенические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и устанавливают гигиенические требования к учебным изданиям.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Гигиенические нормативы предназначены для физических и юридических лиц, независимо от их ведомственной принадлежности и форм собственности, занимающихся деятельностью, связанной с изготовлением печатных и электронных (в части требований к оформлению текстовой информации) учебных изданий для учащихся организаций образования, реализующих образовательные программы начального, основного среднего и общего среднего образования.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Гигиенические нормативы не распространяются на учебные издания для детей с дефектами слуха, речи и зрения, обучающихся в коррекционных образовательных организациях, а также на учебные издания для дополнительного образования.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Гигиенических нормативах использованы следующие термины и определения: 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печати – контрастность ее с фоном, насыщенность и прочность краски;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интерлиньяж – промежуток, пробел между двумя строками в книге и других печатных изданиях;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кегль (кегель) – размер шрифта, включающий высоту буквы (очка) и заплечики (свободные пространства) над и под очком, измеряется в пунктах – 1 пункт равен 0,376 миллиметров (далее – мм). Параметры шрифтового оформления издательской продукции даются в типометрической системе Дидо;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бумаги – цвет, просвечиваемость, гладкость;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гарнитура шрифта – комплект шрифтов, имеющих различные кегли (размеры) и начертания, но одинаковый рисунок очка;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литера – прямоугольный брусок из типографского сплава, дерева или пластмассы с рельефным изображением буквы, цифры или знака в торце;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школьный учебник (далее – учебник) – книга для учащихся, в которой систематически излагается материал в определенной области знаний на современном уровне достижений науки и культуры;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учебное издание – школьный учебник, учебное пособие;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макет учебного издания – модель издания его художественного оформления, верстки необходимая для оценки и предварительного согласования сложных композиционных комплексов;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санитарно-эпидемиологическая экспертиза учебных изданий – оценка соответствия учебных изданий нормативным правовым актам в сфере санитарно-эпидемиологического благополучия населения и гигиеническим нормативам с проведением комплекса лабораторных исследований (испытаний); 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учебное пособие – издание, содержащее учебную информацию, дополняющую и (или) частично заменяющую учебник, в котором программный материал излагается избирательно в авторской трактовке, но при этом отражает содержание типовой учебной программы по предмету или по видам учебной работы;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очко – печатающая поверхность выпуклого зеркального изображения буквы или знака на литере, стереотипе;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петит – типографский шрифт, кегль (размер) которого равен 8 пунктам (около 3 мм); 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плотность набора – количество знаков на площади в 1 квадратном сантиметре (далее –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шмуцтитул – заголовок части учебника (рубрика) на отдельной, чистой, без текста, обычно нечетной странице. 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Санитарно-эпидемиологическая экспертиза учебных изданий проводится на соответствие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ЕСГТ) и требованиям настоящих Гигиенических нормативов.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санитарно-эпидемиологической экспертизы выдается экспертное заключение о соответствии или несоответствии учебных изданий.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издания выпускаются при наличии экспертного заключения о соответствии их ЕСГТ и настоящим Гигиеническим нормативам. </w:t>
      </w:r>
    </w:p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Вес одного учебного издания не превышает: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 граммов (далее – г) для учащихся 1–4 классов;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 г для 5–6 классов; 500 г для 7–9 классов;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г для 10–12 классов.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увеличение веса учебного издания не более чем на 10%. </w:t>
      </w:r>
    </w:p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зависимости от характера предъявления и объема информационного материала, функционального назначения в процессе обучения и возрастной категории учащихся классификация учебных изданий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Гигиеническим нормативам.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Учебные издания, несоответствующие требованиям ЕСГТ и Гигиеническим нормативам не выпускаются и не эксплуатируются.</w:t>
      </w:r>
    </w:p>
    <w:bookmarkEnd w:id="28"/>
    <w:bookmarkStart w:name="z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материалам учебных изданий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Материалы, используемые для изготовления учебных изданий, соответствуют требованиям химической безопасности. 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Бумага, предназначенная для изготовления учебных изданий, обеспечивает хорошую видимость печатного текста.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бумага белого или слегка желтоватого цвета, с коэффициентом отражения от 70% до 80%.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применяется газетная и мелованная глянцевая бумага. </w:t>
      </w:r>
    </w:p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Поверхность бумаги ровная, гладкая (не менее 30–40 секунд (далее – сек) для бумаги машинной гладкости и 100–150 сек для глазированной бумаги), чистая, без волосков и пятен, равномерно выделанная, без значительного глянца.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Бумага не просвечивает печатный текст с подлежащей страницы или с обратной стороны листа. 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Приборы, применяемые для исследования бумаги,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Гигиеническим нормативам.</w:t>
      </w:r>
    </w:p>
    <w:bookmarkEnd w:id="34"/>
    <w:bookmarkStart w:name="z2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печати учебных изданий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Печать учебных изданий четкая, интенсивно черного цвета и равномерная.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учебных изданиях не предусматриваются дефекты: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приводящие к искажению или потере информации, ухудшающие удобочитаемость, условия чтения;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непропечатка (потеря элементов изображения), отмарывание краски, забитые краской участки, пятна, царапины, двойные печатные элементы на оттиске;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текста с нечеткими штрихами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затеки клея на обрезы или внутрь блока, вызывающие склеивание страниц и повреждение текста или иллюстраций при раскрывании;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смятые, грязные страницы;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отставание обложки от корешка;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деформация блока или переплетной крышки.</w:t>
      </w:r>
    </w:p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учебных изданиях не применяются шрифты: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узкого начертания, кроме заголовков;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курсивного начертания для основного текста;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наклонными осями округлых букв в изданиях для 1–4 классов.</w:t>
      </w:r>
    </w:p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Оптическая плотность фона при печати текста на цветном и сером фоне и (или) многокрасочных иллюстрациях не более 0,3 мм.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учебных изданиях для 1–4 классов при печати текста на цветном фоне кегль шрифта предусматривается на 2 пункта больше чем кегль шрифта основного текста, увеличение интерлиньяжа - не менее 2 пунктов.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выделения текста в учебных изданиях для 1–4 классов применяется не более трех цветных красок, в изданиях для 5–12 – не более двух цветных красок.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наглядного изображения (график, схема, таблица, диаграмма и другие) применяется не более трех красок, в том числе черной краской.</w:t>
      </w:r>
    </w:p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Учебные издания набираются гарнитурами, отвечающими требованиям удобочитаемости и особенностям зрительного восприятия. 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Буквари, другие учебные издания для 1 класса набираются Букварной, Азбукой или Журнальной рубленой гарнитурой прямого светлого начертания с небольшой разницей в толщине основных и соединительных штрихов, без засечек на концах букв. 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Весь основной текст (печатный) букваря набирается одной гарнитурой. Смена рисунка шрифта на протяжений букваря недопустима. Новые буквы в букварях должны быть не рисованными, а наборными, не мельче кегля 48. 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Шрифтовое оформление букварей соответствуют: при оформлении выделений в тексте предусматривается уменьшение длины строки до 90 мм;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иллюстраций – не менее 30%.</w:t>
      </w:r>
    </w:p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Основной текст в учебных изданиях набирается шрифтом прямым нормального светлого начертания. Не применяется узкое начертание шрифта.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шрифта, для набора учебных изданий младшего школьного возраста (1–4 класса), среднего школьного возраста (5-9 классы), старшего школьного возраста (10–12 классы)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Гигиеническим нормативам.</w:t>
      </w:r>
    </w:p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Выделение слов и фраз в тексте рекомендуется набирать прямым полужирным или жирным шрифтом; допускается курсив светлый или полужирный. Разрядка предусматривается лишь для отдельных слов. 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набора заглавия учебного издания на титуле рекомендуется кегель 20 и выше.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набора титула и шмутцтитула следует употреблять наборные крупнокегельные шрифты.</w:t>
      </w:r>
    </w:p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Петитом в учебниках для среднего и старшего школьного возрастов набираются все дополнительные тексты, при этом сплошной текст не превышает 12 строк. Петит без ограничений может быть использован при наборе списков литературы, указателей, словарей.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Стихотворный текст печатать петитом предусматривается в учебниках для 8–11(12) классов-до четырех строк, для 8–11(12) классов не более 16 строк на страницу. Стихотворный текст, набранный петитом, может чередоваться с обычным текстом не чаще двух раз на страницу.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Набор петитом вопросов и заданий в учебниках предусмотрены только для учащихся 8–11(12) классов и при условии, что текст каждого вопроса (задания) не превышает двух строк, а сплошной текст петита не составляет более 16 строк на страницу.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оглавлении петитом набирается подпараграф (в учебниках для 8–11(12) классов).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заголовок начинается с новой строки. </w:t>
      </w:r>
    </w:p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Интерлиньяж составляет не менее 2,8 мм.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Кегль шрифта в примерах и задачах, элементов химических формул составляет не менее кегля шрифта основного текста. Кегль шрифта надписей на наглядных изображениях может быть только на два пункта меньше кегля шрифта основного текста.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Кегль шрифта в словарной части составляет не менее кегля шрифта дополнительного текста.</w:t>
      </w:r>
    </w:p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Подписи к иллюстрациям оформляются шрифтом с кеглем не менее 12 пунктов и располагаются от края иллюстрации на расстоянии не менее 12 пунктов от четкого края изображения. Для подрисуночных подписей в учебных изданиях для 1–4 классов применяется шрифт кеглем не менее 12 пунктов, для 5–9 классов – не менее 9 пунктов, для 10–12 классов – не менее 8 пунктов.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текста справа от иллюстраций, начало строк, кроме заголовков и абзацев, находится на одной вертикальной линии.</w:t>
      </w:r>
    </w:p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младших школьников, при крупном шрифте на 20, 16, 14 кегелей длина строки составляет 81–172 мм при уменьшении шрифта до 12–10 кегелей, рекомендуются строки 98–113 мм.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оформлении учебника для младшего и среднего школьного возраста не применяется двухколонный набор основного текста (кроме стихотворного). Второй колонкой могут быть размещены иллюстрации, подписи к иллюстрациям, а также вспомогательные и методические сведения, в том числе вопросы и задания.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Двумя и более колонками могут быть размещены математические столбики примеров, задач, а также списки слов и словосочетаний в лингвистических текстах.</w:t>
      </w:r>
    </w:p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 дополнительным текстам относятся примечания, пояснения, указатели, словари, всякого рода списки.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учебниках для 8–11 (12) классов по предметам, не требующим длительного непрерывного чтения (анатомия, физиология и гигиена человека, география и другие) предусматривается двухколонный набор кегелем 10 при длине строки в колонке – не менее 63 мм и расстоянии между колонками не менее 9–10 мм.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Во всех учебных изданиях может предусматриваться двухколонный набор словарей и указателей. 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 используется трехколонный набор текста в учебниках.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Удобочитаемость текста в значительной степени определяется четкостью отграничения полосы набора от окружения наличием полей. Поля контрастируют с полосой набора и имеют достаточные размеры. Корешковые поля на развороте текстовых страниц - не менее 26 мм верхние наружные и нижние поля - не менее 10 мм.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Пробел между словами в учебных изданиях для младшего школьного возраста равен кеглю шрифта.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Плотность набора определяет качество набора в целом.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плотности набора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Гигиеническим нормативам.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набора считается удовлетворительной, если на 1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видимых строк не превышает двух.</w:t>
      </w:r>
    </w:p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Все строки, за исключением заголовков и абзацев, начинаются с одного вертикального уровня.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учебных изданиях для младшего школьного возраста количество переносов на страницу не превышает 3–4 подряд, не более 7 на страницу.</w:t>
      </w:r>
    </w:p>
    <w:bookmarkEnd w:id="65"/>
    <w:bookmarkStart w:name="z5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переплету учебных изданий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Переплет учебного издания предусматривается из прочного материала, минимально подвергающегося загрязнению (твердо интегральные). Не применяется способ скрепления – шитье проволокой втачку.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учебных изданий (кроме начальных классов) объемом до 12 печатных листов в качестве обложки рекомендуется применять переплетный материал на бумажной или нетканой основе с полимерным покрытием, а для пособий объемом не более 6 печатных листов может применяться обложечная бумага.</w:t>
      </w:r>
    </w:p>
    <w:bookmarkEnd w:id="68"/>
    <w:bookmarkStart w:name="z5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оформлению текстовой информации учебных</w:t>
      </w:r>
      <w:r>
        <w:br/>
      </w:r>
      <w:r>
        <w:rPr>
          <w:rFonts w:ascii="Times New Roman"/>
          <w:b/>
          <w:i w:val="false"/>
          <w:color w:val="000000"/>
        </w:rPr>
        <w:t>электронных изданий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Шрифтовое оформление основного текста учебных электронных изданий соответствует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Гигиеническому нормативу.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текстовой информации в учебном электронном издании не применяются: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узкое начертание гарнитуры шрифта;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курсивное начертание гарнитуры шрифта для основного текста (за исключением выделений текста);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четырех цветов шрифта различных длин волн на одной электронной странице;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фон электронной страницы;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анимированные эффекты (движение, мерцание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слов.</w:t>
      </w:r>
    </w:p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учебном электронном издании применяются не более трех гарнитур шрифта различных начертаний.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Строки текста (за исключением заголовков и абзацев) начинаются с одного вертикального уровня.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Междустрочный интервал в абзаце текста составляет не менее одинарного и не более полуторного кегля шрифта.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Кегль шрифта вспомогательных элементов буквенных и числовых формул составляет не менее 9 пунктов.</w:t>
      </w:r>
    </w:p>
    <w:bookmarkEnd w:id="75"/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таблицах кегль шрифта составляет не менее 10 пунктов. При выводе ячеек таблицы на отдельные электронные страницы кегль шрифта на отдельных электронных страницах составляет не менее 12 пунктов.</w:t>
      </w:r>
    </w:p>
    <w:bookmarkEnd w:id="76"/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Расстояние между колонками в таблице составляет не менее ширины двух строчных знаков.</w:t>
      </w:r>
    </w:p>
    <w:bookmarkEnd w:id="77"/>
    <w:bookmarkStart w:name="z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Показатели яркости знаков и фона для позитивного и (или) негативного изображения различаются не менее чем в 3 раза.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изданий</w:t>
            </w:r>
          </w:p>
        </w:tc>
      </w:tr>
    </w:tbl>
    <w:bookmarkStart w:name="z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учебных изданий</w:t>
      </w:r>
    </w:p>
    <w:bookmarkEnd w:id="79"/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зависимости от характера предъявления и объема информационного материала для единовременного прочтения и усвоения издания по учебным дисциплинам подразделяются на: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гуманитарные (букварь, родная речь, обществознание, окружающий мир, история, литература, языковедение-русский и иностранные языки, психология, науки о государстве и праве, основы безопасности жизнедеятельности, экономика, предметы эстетического цикла, физическая культура, трудовое обучение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математические (математика, алгебра, геометрия, тригонометрия, логика, информатика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естественные (естествознание, экология, астрономия, физика, химия, география, биология, черчение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специальные дисциплины для начального профессионального образования (механика, радиоэлектроника, электротехника, металлургия, горное дело, химическая технология, сельское хозяйство, медицина, педагогика, музыка, конструкторские дисциплины и другие). </w:t>
      </w:r>
    </w:p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функционального назначения в процессе обучения издания подразделяются на: учебник; учебное пособие; практикум; учебник-тетрадь, индивидуальная рабочая тетрадь, книга для самостоятельной работы учащихся, альбом-задачник, тетрадь для творческих заданий и другие.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зависимости от возрастной категории издания предназначаются для: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начального образования (первая ступень) – 1 – 4 классы;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основного образования (вторая ступень) – 5 – 9 классы;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среднего образования (третья ступень) – 10 – 11(12) классы.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издания для начального профессионального образования по возрастной категории относятся к изданиям для среднего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изданий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Приборы, применяемые для исследования бумаги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325"/>
        <w:gridCol w:w="2718"/>
        <w:gridCol w:w="4586"/>
        <w:gridCol w:w="2933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прибора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коэффициента отражения бумаги (белизна)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светлот или фотометр, лейкометр типа Цейсс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80%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измерения делают в трех местах учебника (в начале, в середине и в конце)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просвечиваемости бумаги (непрозрачности)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 (по разности коэффициентов отражения бумаги с подложенной под нее черной пластинкой)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должна просвечивать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гладкости бумаги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прибор АПГ или аппарат Бекка (Б-1)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– 40 секунд для бумаги машинной гладкости,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секунд для бумаги глазированной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глянца бумаги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Кизера или гляриметр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Кизеру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5% по гляриметру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размеров шрифта, интерлиньяжа, аппроша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Микрометрическая лупа с делениями 0,1 мм или микроскоп с микрометрическим окуляром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длины строки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линейка с миллиметровыми делениями или прозрачная пластинка с миллиметровыми делениями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четкости печати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Лупы 2-х и 5-ти кратные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Буквы и штрихи букв должны быть равномерно прокрашены, интенсивно черного цвета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плотности набора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 металлическая с 5-ю отверстиями в 1 кв. см каждое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изданий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шрифта для набора учебных изданий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252"/>
        <w:gridCol w:w="3705"/>
        <w:gridCol w:w="1295"/>
        <w:gridCol w:w="1699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по частям и классам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Кегель основного шрифта, не менее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строчной буквы Н в мм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основных штрихов в 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соединительных штрихов в мм (горизонтального и наклонного)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буквы подготовительной части букваря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– 36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– 6,0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Букварная часть букваря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– 24 – 20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– 4,0 – 3,5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Послебукварная часть букваря, учебники 1 класса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2 класса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н/ш, 16 н/ш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– 2,52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3 – 4 класса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12 н/ш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– 2,0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5 – 9 классов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н/ш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10 – 11 классов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н/ш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– 1,7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изданий</w:t>
            </w:r>
          </w:p>
        </w:tc>
      </w:tr>
    </w:tbl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плотности набора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6267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кегеля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набора на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 выше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знаков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знаков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изданий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шрифтовому оформлению основного текста учебных</w:t>
      </w:r>
      <w:r>
        <w:br/>
      </w:r>
      <w:r>
        <w:rPr>
          <w:rFonts w:ascii="Times New Roman"/>
          <w:b/>
          <w:i w:val="false"/>
          <w:color w:val="000000"/>
        </w:rPr>
        <w:t>электронных изданий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3459"/>
        <w:gridCol w:w="1586"/>
        <w:gridCol w:w="2004"/>
        <w:gridCol w:w="2977"/>
      </w:tblGrid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текста единовременного прочтения, количество знаков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 шрифта, пункты, не менее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строки, мм, не менее*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шрифтов (примеры гарнитур)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 (Ариал, Вердана, Гельветика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более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 или с засечками (Джорджия, Таймс Нью Роман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и более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</w:t>
            </w:r>
          </w:p>
        </w:tc>
      </w:tr>
      <w:tr>
        <w:trPr>
          <w:trHeight w:val="30" w:hRule="atLeast"/>
        </w:trPr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 или с засечками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и более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