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5ead6a" w14:textId="05ead6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гигиенических нормативов к учебным изданиям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национальной экономики Республики Казахстан от 19 августа 2015 года № 611. Зарегистрирован в Министерстве юстиции Республики Казахстан 21 сентября 2015 года № 12089. Утратил силу приказом Министра здравоохранения Республики Казахстан от 2 декабря 2021 года № ҚР ДСМ-124.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Министра здравоохранения РК от 02.12.2021 </w:t>
      </w:r>
      <w:r>
        <w:rPr>
          <w:rFonts w:ascii="Times New Roman"/>
          <w:b w:val="false"/>
          <w:i w:val="false"/>
          <w:color w:val="ff0000"/>
          <w:sz w:val="28"/>
        </w:rPr>
        <w:t>№ ҚР ДСМ-124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144 Кодекса Республики Казахстан от 18 сентября 2009 года "О здоровье народа и системе здравоохранения", </w:t>
      </w:r>
      <w:r>
        <w:rPr>
          <w:rFonts w:ascii="Times New Roman"/>
          <w:b/>
          <w:i w:val="false"/>
          <w:color w:val="000000"/>
          <w:sz w:val="28"/>
        </w:rPr>
        <w:t>ПРИКАЗЫВАЮ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гигиенические </w:t>
      </w:r>
      <w:r>
        <w:rPr>
          <w:rFonts w:ascii="Times New Roman"/>
          <w:b w:val="false"/>
          <w:i w:val="false"/>
          <w:color w:val="000000"/>
          <w:sz w:val="28"/>
        </w:rPr>
        <w:t>нормативы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учебным изданиям.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по защите прав потребителей Министерства национальной экономики Республики Казахстан обеспечить в установленном законодательством порядке: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после государственной регистрации настоящего приказа его направление на официальное опубликование в периодических печатных изданиях и в информационно-правовой системе "Әділет";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официальном интернет-ресурсе Министерства национальной экономики Республики Казахстан.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Контроль за исполнением настоящего приказа возложить на курирующего вице-министра национальной экономики Республики Казахстан. 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090"/>
        <w:gridCol w:w="7210"/>
      </w:tblGrid>
      <w:tr>
        <w:trPr>
          <w:trHeight w:val="30" w:hRule="atLeast"/>
        </w:trPr>
        <w:tc>
          <w:tcPr>
            <w:tcW w:w="50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</w:t>
            </w:r>
          </w:p>
        </w:tc>
        <w:tc>
          <w:tcPr>
            <w:tcW w:w="72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50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национальной экономики</w:t>
            </w:r>
          </w:p>
        </w:tc>
        <w:tc>
          <w:tcPr>
            <w:tcW w:w="72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50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72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Е. Досаев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"СОГЛАСОВАН"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Министр образования и науки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Республики Казахстан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 А. Саринжипов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 августа 2015 года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национальной экономики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19 августа 2015 года № 611 </w:t>
            </w:r>
          </w:p>
        </w:tc>
      </w:tr>
    </w:tbl>
    <w:bookmarkStart w:name="z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Гигиенические нормативы к учебным изданиям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гигиенические нормативы к учебным изданиям (далее – Гигиенические нормативы)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144 Кодекса Республики Казахстан от 18 сентября 2009 года "О здоровье народа и системе здравоохранения", и устанавливают гигиенические требования к учебным изданиям.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Гигиенические нормативы предназначены для физических и юридических лиц, независимо от их ведомственной принадлежности и форм собственности, занимающихся деятельностью, связанной с изготовлением печатных и электронных (в части требований к оформлению текстовой информации) учебных изданий для учащихся организаций образования, реализующих образовательные программы начального, основного среднего и общего среднего образования.</w:t>
      </w:r>
    </w:p>
    <w:bookmarkEnd w:id="7"/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Гигиенические нормативы не распространяются на учебные издания для детей с дефектами слуха, речи и зрения, обучающихся в коррекционных образовательных организациях, а также на учебные издания для дополнительного образования.</w:t>
      </w:r>
    </w:p>
    <w:bookmarkEnd w:id="8"/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В Гигиенических нормативах использованы следующие термины и определения: </w:t>
      </w:r>
    </w:p>
    <w:bookmarkEnd w:id="9"/>
    <w:bookmarkStart w:name="z7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качество печати – контрастность ее с фоном, насыщенность и прочность краски;</w:t>
      </w:r>
    </w:p>
    <w:bookmarkEnd w:id="10"/>
    <w:bookmarkStart w:name="z7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интерлиньяж – промежуток, пробел между двумя строками в книге и других печатных изданиях;</w:t>
      </w:r>
    </w:p>
    <w:bookmarkEnd w:id="11"/>
    <w:bookmarkStart w:name="z7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кегль (кегель) – размер шрифта, включающий высоту буквы (очка) и заплечики (свободные пространства) над и под очком, измеряется в пунктах – 1 пункт равен 0,376 миллиметров (далее – мм). Параметры шрифтового оформления издательской продукции даются в типометрической системе Дидо;</w:t>
      </w:r>
    </w:p>
    <w:bookmarkEnd w:id="12"/>
    <w:bookmarkStart w:name="z7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качество бумаги – цвет, просвечиваемость, гладкость;</w:t>
      </w:r>
    </w:p>
    <w:bookmarkEnd w:id="13"/>
    <w:bookmarkStart w:name="z8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гарнитура шрифта – комплект шрифтов, имеющих различные кегли (размеры) и начертания, но одинаковый рисунок очка;</w:t>
      </w:r>
    </w:p>
    <w:bookmarkEnd w:id="14"/>
    <w:bookmarkStart w:name="z8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литера – прямоугольный брусок из типографского сплава, дерева или пластмассы с рельефным изображением буквы, цифры или знака в торце;</w:t>
      </w:r>
    </w:p>
    <w:bookmarkEnd w:id="15"/>
    <w:bookmarkStart w:name="z8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школьный учебник (далее – учебник) – книга для учащихся, в которой систематически излагается материал в определенной области знаний на современном уровне достижений науки и культуры;</w:t>
      </w:r>
    </w:p>
    <w:bookmarkEnd w:id="16"/>
    <w:bookmarkStart w:name="z8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учебное издание – школьный учебник, учебное пособие;</w:t>
      </w:r>
    </w:p>
    <w:bookmarkEnd w:id="17"/>
    <w:bookmarkStart w:name="z8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макет учебного издания – модель издания его художественного оформления, верстки необходимая для оценки и предварительного согласования сложных композиционных комплексов;</w:t>
      </w:r>
    </w:p>
    <w:bookmarkEnd w:id="18"/>
    <w:bookmarkStart w:name="z8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10) санитарно-эпидемиологическая экспертиза учебных изданий – оценка соответствия учебных изданий нормативным правовым актам в сфере санитарно-эпидемиологического благополучия населения и гигиеническим нормативам с проведением комплекса лабораторных исследований (испытаний); </w:t>
      </w:r>
    </w:p>
    <w:bookmarkEnd w:id="19"/>
    <w:bookmarkStart w:name="z8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учебное пособие – издание, содержащее учебную информацию, дополняющую и (или) частично заменяющую учебник, в котором программный материал излагается избирательно в авторской трактовке, но при этом отражает содержание типовой учебной программы по предмету или по видам учебной работы;</w:t>
      </w:r>
    </w:p>
    <w:bookmarkEnd w:id="20"/>
    <w:bookmarkStart w:name="z8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очко – печатающая поверхность выпуклого зеркального изображения буквы или знака на литере, стереотипе;</w:t>
      </w:r>
    </w:p>
    <w:bookmarkEnd w:id="21"/>
    <w:bookmarkStart w:name="z8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13) петит – типографский шрифт, кегль (размер) которого равен 8 пунктам (около 3 мм); </w:t>
      </w:r>
    </w:p>
    <w:bookmarkEnd w:id="22"/>
    <w:bookmarkStart w:name="z8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плотность набора – количество знаков на площади в 1 квадратном сантиметре (далее – см</w:t>
      </w:r>
      <w:r>
        <w:rPr>
          <w:rFonts w:ascii="Times New Roman"/>
          <w:b w:val="false"/>
          <w:i w:val="false"/>
          <w:color w:val="000000"/>
          <w:vertAlign w:val="superscript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);</w:t>
      </w:r>
    </w:p>
    <w:bookmarkEnd w:id="23"/>
    <w:bookmarkStart w:name="z9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15) шмуцтитул – заголовок части учебника (рубрика) на отдельной, чистой, без текста, обычно нечетной странице. </w:t>
      </w:r>
    </w:p>
    <w:bookmarkEnd w:id="24"/>
    <w:bookmarkStart w:name="z13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Санитарно-эпидемиологическая экспертиза учебных изданий проводится на соответствие Единым санитарно-эпидемиологическим и гигиеническим требованиям к товарам, подлежащим санитарно-эпидемиологическому надзору (контролю), утвержденным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Комиссии Таможенного Союза от 28 мая 2010 года № 299 (далее – ЕСГТ) и требованиям настоящих Гигиенических нормативов.</w:t>
      </w:r>
    </w:p>
    <w:bookmarkEnd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результатам санитарно-эпидемиологической экспертизы выдается экспертное заключение о соответствии или несоответствии учебных изданий.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Учебные издания выпускаются при наличии экспертного заключения о соответствии их ЕСГТ и настоящим Гигиеническим нормативам. </w:t>
      </w:r>
    </w:p>
    <w:bookmarkStart w:name="z14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Вес одного учебного издания не превышает:</w:t>
      </w:r>
    </w:p>
    <w:bookmarkEnd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300 граммов (далее – г) для учащихся 1–4 классов;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400 г для 5–6 классов; 500 г для 7–9 классов;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600 г для 10–12 классов.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Допускается увеличение веса учебного издания не более чем на 10%. </w:t>
      </w:r>
    </w:p>
    <w:bookmarkStart w:name="z15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В зависимости от характера предъявления и объема информационного материала, функционального назначения в процессе обучения и возрастной категории учащихся классификация учебных изданий приведена в 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Гигиеническим нормативам.</w:t>
      </w:r>
    </w:p>
    <w:bookmarkEnd w:id="27"/>
    <w:bookmarkStart w:name="z16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Учебные издания, несоответствующие требованиям ЕСГТ и Гигиеническим нормативам не выпускаются и не эксплуатируются.</w:t>
      </w:r>
    </w:p>
    <w:bookmarkEnd w:id="28"/>
    <w:bookmarkStart w:name="z17" w:id="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Требования к материалам учебных изданий</w:t>
      </w:r>
    </w:p>
    <w:bookmarkEnd w:id="29"/>
    <w:bookmarkStart w:name="z18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Материалы, используемые для изготовления учебных изданий, соответствуют требованиям химической безопасности. </w:t>
      </w:r>
    </w:p>
    <w:bookmarkEnd w:id="30"/>
    <w:bookmarkStart w:name="z19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Бумага, предназначенная для изготовления учебных изданий, обеспечивает хорошую видимость печатного текста.</w:t>
      </w:r>
    </w:p>
    <w:bookmarkEnd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Применяется бумага белого или слегка желтоватого цвета, с коэффициентом отражения от 70% до 80%.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Не применяется газетная и мелованная глянцевая бумага. </w:t>
      </w:r>
    </w:p>
    <w:bookmarkStart w:name="z20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Поверхность бумаги ровная, гладкая (не менее 30–40 секунд (далее – сек) для бумаги машинной гладкости и 100–150 сек для глазированной бумаги), чистая, без волосков и пятен, равномерно выделанная, без значительного глянца.</w:t>
      </w:r>
    </w:p>
    <w:bookmarkEnd w:id="32"/>
    <w:bookmarkStart w:name="z21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Бумага не просвечивает печатный текст с подлежащей страницы или с обратной стороны листа. </w:t>
      </w:r>
    </w:p>
    <w:bookmarkEnd w:id="33"/>
    <w:bookmarkStart w:name="z22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Приборы, применяемые для исследования бумаги, приведены в 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Гигиеническим нормативам.</w:t>
      </w:r>
    </w:p>
    <w:bookmarkEnd w:id="34"/>
    <w:bookmarkStart w:name="z23" w:id="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Требования к печати учебных изданий</w:t>
      </w:r>
    </w:p>
    <w:bookmarkEnd w:id="35"/>
    <w:bookmarkStart w:name="z24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14. Печать учебных изданий четкая, интенсивно черного цвета и равномерная. </w:t>
      </w:r>
    </w:p>
    <w:bookmarkEnd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учебных изданиях не предусматриваются дефекты: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приводящие к искажению или потере информации, ухудшающие удобочитаемость, условия чтения;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непропечатка (потеря элементов изображения), отмарывание краски, забитые краской участки, пятна, царапины, двойные печатные элементы на оттиске;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печать текста с нечеткими штрихами знаков;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затеки клея на обрезы или внутрь блока, вызывающие склеивание страниц и повреждение текста или иллюстраций при раскрывании;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смятые, грязные страницы;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отставание обложки от корешка;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деформация блока или переплетной крышки.</w:t>
      </w:r>
    </w:p>
    <w:bookmarkStart w:name="z25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В учебных изданиях не применяются шрифты:</w:t>
      </w:r>
    </w:p>
    <w:bookmarkEnd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узкого начертания, кроме заголовков;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курсивного начертания для основного текста;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наклонными осями округлых букв в изданиях для 1–4 классов.</w:t>
      </w:r>
    </w:p>
    <w:bookmarkStart w:name="z26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Оптическая плотность фона при печати текста на цветном и сером фоне и (или) многокрасочных иллюстрациях не более 0,3 мм.</w:t>
      </w:r>
    </w:p>
    <w:bookmarkEnd w:id="38"/>
    <w:bookmarkStart w:name="z27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В учебных изданиях для 1–4 классов при печати текста на цветном фоне кегль шрифта предусматривается на 2 пункта больше чем кегль шрифта основного текста, увеличение интерлиньяжа - не менее 2 пунктов.</w:t>
      </w:r>
    </w:p>
    <w:bookmarkEnd w:id="39"/>
    <w:bookmarkStart w:name="z28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Для выделения текста в учебных изданиях для 1–4 классов применяется не более трех цветных красок, в изданиях для 5–12 – не более двух цветных красок.</w:t>
      </w:r>
    </w:p>
    <w:bookmarkEnd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наглядного изображения (график, схема, таблица, диаграмма и другие) применяется не более трех красок, в том числе черной краской.</w:t>
      </w:r>
    </w:p>
    <w:bookmarkStart w:name="z29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19. Учебные издания набираются гарнитурами, отвечающими требованиям удобочитаемости и особенностям зрительного восприятия. </w:t>
      </w:r>
    </w:p>
    <w:bookmarkEnd w:id="41"/>
    <w:bookmarkStart w:name="z30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20. Буквари, другие учебные издания для 1 класса набираются Букварной, Азбукой или Журнальной рубленой гарнитурой прямого светлого начертания с небольшой разницей в толщине основных и соединительных штрихов, без засечек на концах букв. </w:t>
      </w:r>
    </w:p>
    <w:bookmarkEnd w:id="42"/>
    <w:bookmarkStart w:name="z31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21. Весь основной текст (печатный) букваря набирается одной гарнитурой. Смена рисунка шрифта на протяжений букваря недопустима. Новые буквы в букварях должны быть не рисованными, а наборными, не мельче кегля 48. </w:t>
      </w:r>
    </w:p>
    <w:bookmarkEnd w:id="43"/>
    <w:bookmarkStart w:name="z32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Шрифтовое оформление букварей соответствуют: при оформлении выделений в тексте предусматривается уменьшение длины строки до 90 мм;</w:t>
      </w:r>
    </w:p>
    <w:bookmarkEnd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площадь иллюстраций – не менее 30%.</w:t>
      </w:r>
    </w:p>
    <w:bookmarkStart w:name="z33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Основной текст в учебных изданиях набирается шрифтом прямым нормального светлого начертания. Не применяется узкое начертание шрифта.</w:t>
      </w:r>
    </w:p>
    <w:bookmarkEnd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Размеры шрифта, для набора учебных изданий младшего школьного возраста (1–4 класса), среднего школьного возраста (5-9 классы), старшего школьного возраста (10–12 классы) представлены в </w:t>
      </w:r>
      <w:r>
        <w:rPr>
          <w:rFonts w:ascii="Times New Roman"/>
          <w:b w:val="false"/>
          <w:i w:val="false"/>
          <w:color w:val="000000"/>
          <w:sz w:val="28"/>
        </w:rPr>
        <w:t>приложении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Гигиеническим нормативам.</w:t>
      </w:r>
    </w:p>
    <w:bookmarkStart w:name="z34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24. Выделение слов и фраз в тексте рекомендуется набирать прямым полужирным или жирным шрифтом; допускается курсив светлый или полужирный. Разрядка предусматривается лишь для отдельных слов. </w:t>
      </w:r>
    </w:p>
    <w:bookmarkEnd w:id="46"/>
    <w:bookmarkStart w:name="z35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Для набора заглавия учебного издания на титуле рекомендуется кегель 20 и выше.</w:t>
      </w:r>
    </w:p>
    <w:bookmarkEnd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набора титула и шмутцтитула следует употреблять наборные крупнокегельные шрифты.</w:t>
      </w:r>
    </w:p>
    <w:bookmarkStart w:name="z36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Петитом в учебниках для среднего и старшего школьного возрастов набираются все дополнительные тексты, при этом сплошной текст не превышает 12 строк. Петит без ограничений может быть использован при наборе списков литературы, указателей, словарей.</w:t>
      </w:r>
    </w:p>
    <w:bookmarkEnd w:id="48"/>
    <w:bookmarkStart w:name="z37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Стихотворный текст печатать петитом предусматривается в учебниках для 8–11(12) классов-до четырех строк, для 8–11(12) классов не более 16 строк на страницу. Стихотворный текст, набранный петитом, может чередоваться с обычным текстом не чаще двух раз на страницу.</w:t>
      </w:r>
    </w:p>
    <w:bookmarkEnd w:id="49"/>
    <w:bookmarkStart w:name="z38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Набор петитом вопросов и заданий в учебниках предусмотрены только для учащихся 8–11(12) классов и при условии, что текст каждого вопроса (задания) не превышает двух строк, а сплошной текст петита не составляет более 16 строк на страницу.</w:t>
      </w:r>
    </w:p>
    <w:bookmarkEnd w:id="50"/>
    <w:bookmarkStart w:name="z39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 В оглавлении петитом набирается подпараграф (в учебниках для 8–11(12) классов).</w:t>
      </w:r>
    </w:p>
    <w:bookmarkEnd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Во всех случаях заголовок начинается с новой строки. </w:t>
      </w:r>
    </w:p>
    <w:bookmarkStart w:name="z40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 Интерлиньяж составляет не менее 2,8 мм.</w:t>
      </w:r>
    </w:p>
    <w:bookmarkEnd w:id="52"/>
    <w:bookmarkStart w:name="z41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31. Кегль шрифта в примерах и задачах, элементов химических формул составляет не менее кегля шрифта основного текста. Кегль шрифта надписей на наглядных изображениях может быть только на два пункта меньше кегля шрифта основного текста.</w:t>
      </w:r>
    </w:p>
    <w:bookmarkEnd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Кегль шрифта в словарной части составляет не менее кегля шрифта дополнительного текста.</w:t>
      </w:r>
    </w:p>
    <w:bookmarkStart w:name="z42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32. Подписи к иллюстрациям оформляются шрифтом с кеглем не менее 12 пунктов и располагаются от края иллюстрации на расстоянии не менее 12 пунктов от четкого края изображения. Для подрисуночных подписей в учебных изданиях для 1–4 классов применяется шрифт кеглем не менее 12 пунктов, для 5–9 классов – не менее 9 пунктов, для 10–12 классов – не менее 8 пунктов.</w:t>
      </w:r>
    </w:p>
    <w:bookmarkEnd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расположении текста справа от иллюстраций, начало строк, кроме заголовков и абзацев, находится на одной вертикальной линии.</w:t>
      </w:r>
    </w:p>
    <w:bookmarkStart w:name="z43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33. Для младших школьников, при крупном шрифте на 20, 16, 14 кегелей длина строки составляет 81–172 мм при уменьшении шрифта до 12–10 кегелей, рекомендуются строки 98–113 мм.</w:t>
      </w:r>
    </w:p>
    <w:bookmarkEnd w:id="55"/>
    <w:bookmarkStart w:name="z44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34. При оформлении учебника для младшего и среднего школьного возраста не применяется двухколонный набор основного текста (кроме стихотворного). Второй колонкой могут быть размещены иллюстрации, подписи к иллюстрациям, а также вспомогательные и методические сведения, в том числе вопросы и задания.</w:t>
      </w:r>
    </w:p>
    <w:bookmarkEnd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Двумя и более колонками могут быть размещены математические столбики примеров, задач, а также списки слов и словосочетаний в лингвистических текстах.</w:t>
      </w:r>
    </w:p>
    <w:bookmarkStart w:name="z45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35. К дополнительным текстам относятся примечания, пояснения, указатели, словари, всякого рода списки.</w:t>
      </w:r>
    </w:p>
    <w:bookmarkEnd w:id="57"/>
    <w:bookmarkStart w:name="z46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36. В учебниках для 8–11 (12) классов по предметам, не требующим длительного непрерывного чтения (анатомия, физиология и гигиена человека, география и другие) предусматривается двухколонный набор кегелем 10 при длине строки в колонке – не менее 63 мм и расстоянии между колонками не менее 9–10 мм.</w:t>
      </w:r>
    </w:p>
    <w:bookmarkEnd w:id="58"/>
    <w:bookmarkStart w:name="z47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37. Во всех учебных изданиях может предусматриваться двухколонный набор словарей и указателей. </w:t>
      </w:r>
    </w:p>
    <w:bookmarkEnd w:id="59"/>
    <w:bookmarkStart w:name="z48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38. Не используется трехколонный набор текста в учебниках.</w:t>
      </w:r>
    </w:p>
    <w:bookmarkEnd w:id="60"/>
    <w:bookmarkStart w:name="z49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39. Удобочитаемость текста в значительной степени определяется четкостью отграничения полосы набора от окружения наличием полей. Поля контрастируют с полосой набора и имеют достаточные размеры. Корешковые поля на развороте текстовых страниц - не менее 26 мм верхние наружные и нижние поля - не менее 10 мм.</w:t>
      </w:r>
    </w:p>
    <w:bookmarkEnd w:id="61"/>
    <w:bookmarkStart w:name="z50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40. Пробел между словами в учебных изданиях для младшего школьного возраста равен кеглю шрифта.</w:t>
      </w:r>
    </w:p>
    <w:bookmarkEnd w:id="62"/>
    <w:bookmarkStart w:name="z51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41. Плотность набора определяет качество набора в целом. </w:t>
      </w:r>
    </w:p>
    <w:bookmarkEnd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Нормы плотности набора соответствуют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Гигиеническим нормативам.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Плотность набора считается удовлетворительной, если на 1 см</w:t>
      </w:r>
      <w:r>
        <w:rPr>
          <w:rFonts w:ascii="Times New Roman"/>
          <w:b w:val="false"/>
          <w:i w:val="false"/>
          <w:color w:val="000000"/>
          <w:vertAlign w:val="superscript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количество видимых строк не превышает двух.</w:t>
      </w:r>
    </w:p>
    <w:bookmarkStart w:name="z52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42. Все строки, за исключением заголовков и абзацев, начинаются с одного вертикального уровня.</w:t>
      </w:r>
    </w:p>
    <w:bookmarkEnd w:id="64"/>
    <w:bookmarkStart w:name="z53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43. В учебных изданиях для младшего школьного возраста количество переносов на страницу не превышает 3–4 подряд, не более 7 на страницу.</w:t>
      </w:r>
    </w:p>
    <w:bookmarkEnd w:id="65"/>
    <w:bookmarkStart w:name="z54" w:id="6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Требования к переплету учебных изданий</w:t>
      </w:r>
    </w:p>
    <w:bookmarkEnd w:id="66"/>
    <w:bookmarkStart w:name="z55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44. Переплет учебного издания предусматривается из прочного материала, минимально подвергающегося загрязнению (твердо интегральные). Не применяется способ скрепления – шитье проволокой втачку.</w:t>
      </w:r>
    </w:p>
    <w:bookmarkEnd w:id="67"/>
    <w:bookmarkStart w:name="z56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45. Для учебных изданий (кроме начальных классов) объемом до 12 печатных листов в качестве обложки рекомендуется применять переплетный материал на бумажной или нетканой основе с полимерным покрытием, а для пособий объемом не более 6 печатных листов может применяться обложечная бумага.</w:t>
      </w:r>
    </w:p>
    <w:bookmarkEnd w:id="68"/>
    <w:bookmarkStart w:name="z57" w:id="6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Требования к оформлению текстовой информации учебных</w:t>
      </w:r>
      <w:r>
        <w:br/>
      </w:r>
      <w:r>
        <w:rPr>
          <w:rFonts w:ascii="Times New Roman"/>
          <w:b/>
          <w:i w:val="false"/>
          <w:color w:val="000000"/>
        </w:rPr>
        <w:t>электронных изданий</w:t>
      </w:r>
    </w:p>
    <w:bookmarkEnd w:id="69"/>
    <w:bookmarkStart w:name="z58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46. Шрифтовое оформление основного текста учебных электронных изданий соответствует требованиям, указанным в </w:t>
      </w:r>
      <w:r>
        <w:rPr>
          <w:rFonts w:ascii="Times New Roman"/>
          <w:b w:val="false"/>
          <w:i w:val="false"/>
          <w:color w:val="000000"/>
          <w:sz w:val="28"/>
        </w:rPr>
        <w:t>приложении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Гигиеническому нормативу.</w:t>
      </w:r>
    </w:p>
    <w:bookmarkEnd w:id="70"/>
    <w:bookmarkStart w:name="z59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47. Для текстовой информации в учебном электронном издании не применяются:</w:t>
      </w:r>
    </w:p>
    <w:bookmarkEnd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узкое начертание гарнитуры шрифта;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курсивное начертание гарнитуры шрифта для основного текста (за исключением выделений текста);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более четырех цветов шрифта различных длин волн на одной электронной странице;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красный фон электронной страницы;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анимированные эффекты (движение, мерцание и другое);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перенос слов.</w:t>
      </w:r>
    </w:p>
    <w:bookmarkStart w:name="z60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48. В учебном электронном издании применяются не более трех гарнитур шрифта различных начертаний.</w:t>
      </w:r>
    </w:p>
    <w:bookmarkEnd w:id="72"/>
    <w:bookmarkStart w:name="z61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49. Строки текста (за исключением заголовков и абзацев) начинаются с одного вертикального уровня.</w:t>
      </w:r>
    </w:p>
    <w:bookmarkEnd w:id="73"/>
    <w:bookmarkStart w:name="z62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50. Междустрочный интервал в абзаце текста составляет не менее одинарного и не более полуторного кегля шрифта.</w:t>
      </w:r>
    </w:p>
    <w:bookmarkEnd w:id="74"/>
    <w:bookmarkStart w:name="z63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51. Кегль шрифта вспомогательных элементов буквенных и числовых формул составляет не менее 9 пунктов.</w:t>
      </w:r>
    </w:p>
    <w:bookmarkEnd w:id="75"/>
    <w:bookmarkStart w:name="z64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52. В таблицах кегль шрифта составляет не менее 10 пунктов. При выводе ячеек таблицы на отдельные электронные страницы кегль шрифта на отдельных электронных страницах составляет не менее 12 пунктов.</w:t>
      </w:r>
    </w:p>
    <w:bookmarkEnd w:id="76"/>
    <w:bookmarkStart w:name="z65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53. Расстояние между колонками в таблице составляет не менее ширины двух строчных знаков.</w:t>
      </w:r>
    </w:p>
    <w:bookmarkEnd w:id="77"/>
    <w:bookmarkStart w:name="z66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54. Показатели яркости знаков и фона для позитивного и (или) негативного изображения различаются не менее чем в 3 раза.</w:t>
      </w:r>
    </w:p>
    <w:bookmarkEnd w:id="7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гигиеническим нормативам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учебных изданий</w:t>
            </w:r>
          </w:p>
        </w:tc>
      </w:tr>
    </w:tbl>
    <w:bookmarkStart w:name="z68" w:id="7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Классификация учебных изданий</w:t>
      </w:r>
    </w:p>
    <w:bookmarkEnd w:id="79"/>
    <w:bookmarkStart w:name="z69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 зависимости от характера предъявления и объема информационного материала для единовременного прочтения и усвоения издания по учебным дисциплинам подразделяются на: </w:t>
      </w:r>
    </w:p>
    <w:bookmarkEnd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гуманитарные (букварь, родная речь, обществознание, окружающий мир, история, литература, языковедение-русский и иностранные языки, психология, науки о государстве и праве, основы безопасности жизнедеятельности, экономика, предметы эстетического цикла, физическая культура, трудовое обучение и другие);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математические (математика, алгебра, геометрия, тригонометрия, логика, информатика и другие);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естественные (естествознание, экология, астрономия, физика, химия, география, биология, черчение и другие);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специальные дисциплины для начального профессионального образования (механика, радиоэлектроника, электротехника, металлургия, горное дело, химическая технология, сельское хозяйство, медицина, педагогика, музыка, конструкторские дисциплины и другие). </w:t>
      </w:r>
    </w:p>
    <w:bookmarkStart w:name="z70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зависимости от функционального назначения в процессе обучения издания подразделяются на: учебник; учебное пособие; практикум; учебник-тетрадь, индивидуальная рабочая тетрадь, книга для самостоятельной работы учащихся, альбом-задачник, тетрадь для творческих заданий и другие.</w:t>
      </w:r>
    </w:p>
    <w:bookmarkEnd w:id="81"/>
    <w:bookmarkStart w:name="z71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В зависимости от возрастной категории издания предназначаются для: </w:t>
      </w:r>
    </w:p>
    <w:bookmarkEnd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начального образования (первая ступень) – 1 – 4 классы;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основного образования (вторая ступень) – 5 – 9 классы;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среднего образования (третья ступень) – 10 – 11(12) классы.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Учебные издания для начального профессионального образования по возрастной категории относятся к изданиям для среднего образования.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гигиеническим нормативам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учебных изданий</w:t>
            </w:r>
          </w:p>
        </w:tc>
      </w:tr>
    </w:tbl>
    <w:bookmarkStart w:name="z91" w:id="8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Приборы, применяемые для исследования бумаги</w:t>
      </w:r>
    </w:p>
    <w:bookmarkEnd w:id="8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38"/>
        <w:gridCol w:w="1325"/>
        <w:gridCol w:w="2718"/>
        <w:gridCol w:w="4586"/>
        <w:gridCol w:w="2933"/>
      </w:tblGrid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 исследования</w:t>
            </w:r>
          </w:p>
        </w:tc>
        <w:tc>
          <w:tcPr>
            <w:tcW w:w="2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Название прибора</w:t>
            </w:r>
          </w:p>
        </w:tc>
        <w:tc>
          <w:tcPr>
            <w:tcW w:w="4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Нормативы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коэффициента отражения бумаги (белизна)</w:t>
            </w:r>
          </w:p>
        </w:tc>
        <w:tc>
          <w:tcPr>
            <w:tcW w:w="2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Шкала светлот или фотометр, лейкометр типа Цейсс</w:t>
            </w:r>
          </w:p>
        </w:tc>
        <w:tc>
          <w:tcPr>
            <w:tcW w:w="4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– 80%</w:t>
            </w:r>
          </w:p>
        </w:tc>
        <w:tc>
          <w:tcPr>
            <w:tcW w:w="29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измерения делают в трех местах учебника (в начале, в середине и в конце)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просвечиваемости бумаги (непрозрачности)</w:t>
            </w:r>
          </w:p>
        </w:tc>
        <w:tc>
          <w:tcPr>
            <w:tcW w:w="2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Фотометр (по разности коэффициентов отражения бумаги с подложенной под нее черной пластинкой)</w:t>
            </w:r>
          </w:p>
        </w:tc>
        <w:tc>
          <w:tcPr>
            <w:tcW w:w="4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должна просвечивать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13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гладкости бумаги</w:t>
            </w:r>
          </w:p>
        </w:tc>
        <w:tc>
          <w:tcPr>
            <w:tcW w:w="27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Пневматический прибор АПГ или аппарат Бекка (Б-1)</w:t>
            </w:r>
          </w:p>
        </w:tc>
        <w:tc>
          <w:tcPr>
            <w:tcW w:w="4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30 – 40 секунд для бумаги машинной гладкости, 100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секунд для бумаги глазированной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13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глянца бумаги</w:t>
            </w:r>
          </w:p>
        </w:tc>
        <w:tc>
          <w:tcPr>
            <w:tcW w:w="27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Кизера или гляриметр</w:t>
            </w:r>
          </w:p>
        </w:tc>
        <w:tc>
          <w:tcPr>
            <w:tcW w:w="4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– 10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Кизеру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– 5% по гляриметру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размеров шрифта, интерлиньяжа, аппроша</w:t>
            </w:r>
          </w:p>
        </w:tc>
        <w:tc>
          <w:tcPr>
            <w:tcW w:w="2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Микрометрическая лупа с делениями 0,1 мм или микроскоп с микрометрическим окуляром</w:t>
            </w:r>
          </w:p>
        </w:tc>
        <w:tc>
          <w:tcPr>
            <w:tcW w:w="4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длины строки</w:t>
            </w:r>
          </w:p>
        </w:tc>
        <w:tc>
          <w:tcPr>
            <w:tcW w:w="2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Металлическая линейка с миллиметровыми делениями или прозрачная пластинка с миллиметровыми делениями</w:t>
            </w:r>
          </w:p>
        </w:tc>
        <w:tc>
          <w:tcPr>
            <w:tcW w:w="4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четкости печати</w:t>
            </w:r>
          </w:p>
        </w:tc>
        <w:tc>
          <w:tcPr>
            <w:tcW w:w="2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Лупы 2-х и 5-ти кратные</w:t>
            </w:r>
          </w:p>
        </w:tc>
        <w:tc>
          <w:tcPr>
            <w:tcW w:w="4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Буквы и штрихи букв должны быть равномерно прокрашены, интенсивно черного цвета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плотности набора</w:t>
            </w:r>
          </w:p>
        </w:tc>
        <w:tc>
          <w:tcPr>
            <w:tcW w:w="2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Пластинка металлическая с 5-ю отверстиями в 1 кв. см каждое</w:t>
            </w:r>
          </w:p>
        </w:tc>
        <w:tc>
          <w:tcPr>
            <w:tcW w:w="4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гигиеническим нормативам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учебных изданий</w:t>
            </w:r>
          </w:p>
        </w:tc>
      </w:tr>
    </w:tbl>
    <w:bookmarkStart w:name="z92" w:id="8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Размеры шрифта для набора учебных изданий</w:t>
      </w:r>
    </w:p>
    <w:bookmarkEnd w:id="8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349"/>
        <w:gridCol w:w="3252"/>
        <w:gridCol w:w="3705"/>
        <w:gridCol w:w="1295"/>
        <w:gridCol w:w="1699"/>
      </w:tblGrid>
      <w:tr>
        <w:trPr>
          <w:trHeight w:val="30" w:hRule="atLeast"/>
        </w:trPr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Учебники по частям и классам</w:t>
            </w:r>
          </w:p>
        </w:tc>
        <w:tc>
          <w:tcPr>
            <w:tcW w:w="3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Кегель основного шрифта, не менее</w:t>
            </w:r>
          </w:p>
        </w:tc>
        <w:tc>
          <w:tcPr>
            <w:tcW w:w="3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Высота строчной буквы Н в мм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Толщина основных штрихов в мм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Толщина соединительных штрихов в мм (горизонтального и наклонного)</w:t>
            </w:r>
          </w:p>
        </w:tc>
      </w:tr>
      <w:tr>
        <w:trPr>
          <w:trHeight w:val="30" w:hRule="atLeast"/>
        </w:trPr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Новые буквы подготовительной части букваря</w:t>
            </w:r>
          </w:p>
        </w:tc>
        <w:tc>
          <w:tcPr>
            <w:tcW w:w="3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– 36</w:t>
            </w:r>
          </w:p>
        </w:tc>
        <w:tc>
          <w:tcPr>
            <w:tcW w:w="3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8,0 – 6,0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</w:tr>
      <w:tr>
        <w:trPr>
          <w:trHeight w:val="30" w:hRule="atLeast"/>
        </w:trPr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Букварная часть букваря</w:t>
            </w:r>
          </w:p>
        </w:tc>
        <w:tc>
          <w:tcPr>
            <w:tcW w:w="3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– 24 – 20</w:t>
            </w:r>
          </w:p>
        </w:tc>
        <w:tc>
          <w:tcPr>
            <w:tcW w:w="3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4,5 – 4,0 – 3,5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Послебукварная часть букваря, учебники 1 класса</w:t>
            </w:r>
          </w:p>
        </w:tc>
        <w:tc>
          <w:tcPr>
            <w:tcW w:w="3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3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2,8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0,45</w:t>
            </w:r>
          </w:p>
        </w:tc>
      </w:tr>
      <w:tr>
        <w:trPr>
          <w:trHeight w:val="30" w:hRule="atLeast"/>
        </w:trPr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Учебники 2 класса</w:t>
            </w:r>
          </w:p>
        </w:tc>
        <w:tc>
          <w:tcPr>
            <w:tcW w:w="3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н/ш, 16 н/ш</w:t>
            </w:r>
          </w:p>
        </w:tc>
        <w:tc>
          <w:tcPr>
            <w:tcW w:w="3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 – 2,52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0,15</w:t>
            </w:r>
          </w:p>
        </w:tc>
      </w:tr>
      <w:tr>
        <w:trPr>
          <w:trHeight w:val="30" w:hRule="atLeast"/>
        </w:trPr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Учебники 3 – 4 класса</w:t>
            </w:r>
          </w:p>
        </w:tc>
        <w:tc>
          <w:tcPr>
            <w:tcW w:w="3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 12 н/ш</w:t>
            </w:r>
          </w:p>
        </w:tc>
        <w:tc>
          <w:tcPr>
            <w:tcW w:w="3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 – 2,0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0,15</w:t>
            </w:r>
          </w:p>
        </w:tc>
      </w:tr>
      <w:tr>
        <w:trPr>
          <w:trHeight w:val="30" w:hRule="atLeast"/>
        </w:trPr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Учебники 5 – 9 классов</w:t>
            </w:r>
          </w:p>
        </w:tc>
        <w:tc>
          <w:tcPr>
            <w:tcW w:w="3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н/ш</w:t>
            </w:r>
          </w:p>
        </w:tc>
        <w:tc>
          <w:tcPr>
            <w:tcW w:w="3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0,15</w:t>
            </w:r>
          </w:p>
        </w:tc>
      </w:tr>
      <w:tr>
        <w:trPr>
          <w:trHeight w:val="30" w:hRule="atLeast"/>
        </w:trPr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Учебники 10 – 11 классов</w:t>
            </w:r>
          </w:p>
        </w:tc>
        <w:tc>
          <w:tcPr>
            <w:tcW w:w="3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н/ш</w:t>
            </w:r>
          </w:p>
        </w:tc>
        <w:tc>
          <w:tcPr>
            <w:tcW w:w="3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1,75 – 1,7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0,25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гигиеническим нормативам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учебных изданий</w:t>
            </w:r>
          </w:p>
        </w:tc>
      </w:tr>
    </w:tbl>
    <w:bookmarkStart w:name="z93" w:id="8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Нормы плотности набора</w:t>
      </w:r>
    </w:p>
    <w:bookmarkEnd w:id="8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033"/>
        <w:gridCol w:w="6267"/>
      </w:tblGrid>
      <w:tr>
        <w:trPr>
          <w:trHeight w:val="30" w:hRule="atLeast"/>
        </w:trPr>
        <w:tc>
          <w:tcPr>
            <w:tcW w:w="6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кегеля</w:t>
            </w:r>
          </w:p>
        </w:tc>
        <w:tc>
          <w:tcPr>
            <w:tcW w:w="6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Плотность набора на 1 см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</w:tc>
      </w:tr>
      <w:tr>
        <w:trPr>
          <w:trHeight w:val="30" w:hRule="atLeast"/>
        </w:trPr>
        <w:tc>
          <w:tcPr>
            <w:tcW w:w="6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и выше</w:t>
            </w:r>
          </w:p>
        </w:tc>
        <w:tc>
          <w:tcPr>
            <w:tcW w:w="6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10 знаков</w:t>
            </w:r>
          </w:p>
        </w:tc>
      </w:tr>
      <w:tr>
        <w:trPr>
          <w:trHeight w:val="30" w:hRule="atLeast"/>
        </w:trPr>
        <w:tc>
          <w:tcPr>
            <w:tcW w:w="6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9-13</w:t>
            </w:r>
          </w:p>
        </w:tc>
        <w:tc>
          <w:tcPr>
            <w:tcW w:w="6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15 знаков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гигиеническим нормативам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учебных изданий</w:t>
            </w:r>
          </w:p>
        </w:tc>
      </w:tr>
    </w:tbl>
    <w:bookmarkStart w:name="z94" w:id="8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Требования к шрифтовому оформлению основного текста учебных</w:t>
      </w:r>
      <w:r>
        <w:br/>
      </w:r>
      <w:r>
        <w:rPr>
          <w:rFonts w:ascii="Times New Roman"/>
          <w:b/>
          <w:i w:val="false"/>
          <w:color w:val="000000"/>
        </w:rPr>
        <w:t>электронных изданий</w:t>
      </w:r>
    </w:p>
    <w:bookmarkEnd w:id="8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274"/>
        <w:gridCol w:w="3459"/>
        <w:gridCol w:w="1586"/>
        <w:gridCol w:w="2004"/>
        <w:gridCol w:w="2977"/>
      </w:tblGrid>
      <w:tr>
        <w:trPr>
          <w:trHeight w:val="30" w:hRule="atLeast"/>
        </w:trPr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Классы</w:t>
            </w:r>
          </w:p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текста единовременного прочтения, количество знаков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Кегль шрифта, пункты, не менее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Длина строки, мм, не менее*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шрифтов (примеры гарнитур)</w:t>
            </w:r>
          </w:p>
        </w:tc>
      </w:tr>
      <w:tr>
        <w:trPr>
          <w:trHeight w:val="30" w:hRule="atLeast"/>
        </w:trPr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2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1-4</w:t>
            </w:r>
          </w:p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50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9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рубленые (Ариал, Вердана, Гельветика и другие)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и более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2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5-9</w:t>
            </w:r>
          </w:p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150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рубленые или с засечками (Джорджия, Таймс Нью Роман и другие)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150 до 200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рубленые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и более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рубленые</w:t>
            </w:r>
          </w:p>
        </w:tc>
      </w:tr>
      <w:tr>
        <w:trPr>
          <w:trHeight w:val="30" w:hRule="atLeast"/>
        </w:trPr>
        <w:tc>
          <w:tcPr>
            <w:tcW w:w="22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10-12</w:t>
            </w:r>
          </w:p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150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рубленые или с засечками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150 до 200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рубленые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и более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рубленые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