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ebf" w14:textId="63d8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представления отчетности организатора игорного бизнеса, Правил осуществления сбора и анализа отчетности, представляемой организатором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июля 2015 года № 249. Зарегистрирован в Министерстве юстиции Республики Казахстан 26 августа 2015 года № 11948.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туризма и спорта Республики Казахстан, утвержденного постановлением Правительства Республики Казахстан от 4 октября 2023 года № 865,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01.10.2024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представления отчетности организатора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сбора и анализа отчетности, представляемой организатором игорного бизнеса,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культуры и спорта РК от 08.07.2021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разместить настоящий приказ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настоящим пунктом, в течении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18" w:id="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регулированию игорного бизнеса и лотереи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www.tsm.gov.kz</w:t>
      </w:r>
    </w:p>
    <w:bookmarkStart w:name="z4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Форма представления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________20__года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туризма и спорта Республики Казахстан от 15.12.2025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420" w:id="7"/>
      <w:r>
        <w:rPr>
          <w:rFonts w:ascii="Times New Roman"/>
          <w:b w:val="false"/>
          <w:i w:val="false"/>
          <w:color w:val="000000"/>
          <w:sz w:val="28"/>
        </w:rPr>
        <w:t>
      Индекс: 1-(ОИБ)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организаторы игорного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(юридические лица, осуществляющие организацию и проведение азартных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игр и (или) пари)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один раз в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числа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организатора игорного бизнеса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организатора игорного бизнеса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организатора игорного бизнеса,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начало отчетного периода,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азартных игр и (или) пари на конец отчетного периода,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отказов в установлении деловых отношений с участниками по основаниям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ПОД/ФТ/ФРОМУ*,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игорных заведений одними и теми же участниками азартных игр в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сумме уплаченной платы за пользование лицензией на занятие деятельностью в сфере игорного бизнеса за 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обязательных резервов, фактически размещенных в банке (-ах) по состоянию на день предоставления отчетности**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выплаченных выигрышей участникам азартных игр и (или) пари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совершенных ставок за отчетный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посещений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посещений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посещений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вид игорного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игорного оборудования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 (или) инвентарный номер игорного оборудования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игорного оборудования, игровых автоматов (новое/бывшее в употреблении)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 (для новых игровых автоматов)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процент выигрыша, технологически заложенный в игровой автомат (для зала игровых автоматов)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видеозаписывающей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техническом состоянии видеозаписывающих систем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кассе (-ах), в том числе вид, количество и месторасположение кассы (адрес)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постановке на регистрационный учет объектов налогообложения/ касс (-ы) в органах государственных доходов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 столов, замены оборудования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или инвентарный номер заменившего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игровых столов, указанных при получении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увеличении и сокращении количества игровых столов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 w:val="false"/>
          <w:color w:val="000000"/>
          <w:sz w:val="28"/>
        </w:rPr>
        <w:t>Закон о ПОД/ФТ/ФРОМУ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Закон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11"/>
    <w:bookmarkStart w:name="z4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 целях подтверждения наличия обязательных резервов к отчетности прилагается справка о наличии и движении денег по банковским счетам, открытым при заключении договора банковского вклада.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игорного заведения или товарного знака (при наличии)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 (при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выданной лицензии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сведения, указанные в настоящей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или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4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Форма отчетности организатора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>Индекс: 1 - (ОИБ), периодичность: ежеквартальная</w:t>
      </w:r>
    </w:p>
    <w:bookmarkEnd w:id="13"/>
    <w:bookmarkStart w:name="z4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4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представления отчетности организатора игорного бизнеса.</w:t>
      </w:r>
    </w:p>
    <w:bookmarkEnd w:id="15"/>
    <w:bookmarkStart w:name="z4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организаторами игорного бизнеса (юридическими лицами, осуществляющим организацию и проведение азартных игр и (или) пари), и представляется в уполномоченный орган в сфере игорного бизнеса.</w:t>
      </w:r>
    </w:p>
    <w:bookmarkEnd w:id="16"/>
    <w:bookmarkStart w:name="z4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заверяется подписью или электронной цифровой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наличии).</w:t>
      </w:r>
    </w:p>
    <w:bookmarkEnd w:id="17"/>
    <w:bookmarkStart w:name="z4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ежеквартально, не позднее 10 числа месяца, следующего за отчетным периодом.</w:t>
      </w:r>
    </w:p>
    <w:bookmarkEnd w:id="18"/>
    <w:bookmarkStart w:name="z4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"/>
    <w:bookmarkStart w:name="z4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номер по порядку.</w:t>
      </w:r>
    </w:p>
    <w:bookmarkEnd w:id="20"/>
    <w:bookmarkStart w:name="z4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бизнес идентификационный номер организатора игорного бизнеса.</w:t>
      </w:r>
    </w:p>
    <w:bookmarkEnd w:id="21"/>
    <w:bookmarkStart w:name="z4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наименование организатора игорного бизнеса.</w:t>
      </w:r>
    </w:p>
    <w:bookmarkEnd w:id="22"/>
    <w:bookmarkStart w:name="z4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вид деятельности.</w:t>
      </w:r>
    </w:p>
    <w:bookmarkEnd w:id="23"/>
    <w:bookmarkStart w:name="z4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юридический адрес.</w:t>
      </w:r>
    </w:p>
    <w:bookmarkEnd w:id="24"/>
    <w:bookmarkStart w:name="z4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6, 7 указываются сведения о численности работников организатора игорного бизнеса на начало и на конец отчетного периода.</w:t>
      </w:r>
    </w:p>
    <w:bookmarkEnd w:id="25"/>
    <w:bookmarkStart w:name="z4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8, 9 указываются сведения о количестве участников азартных игр и (или) пари (резиденты, нерезиденты) на начало отчетного периода.</w:t>
      </w:r>
    </w:p>
    <w:bookmarkEnd w:id="26"/>
    <w:bookmarkStart w:name="z4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10, 11 указываются сведения о количестве участников азартных игр и (или) пари (резиденты, нерезиденты) на конец отчетного периода.</w:t>
      </w:r>
    </w:p>
    <w:bookmarkEnd w:id="27"/>
    <w:bookmarkStart w:name="z4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12 указываются сведения о количестве отказов в установлении деловых отношений с участниками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28"/>
    <w:bookmarkStart w:name="z4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13, 14, 15 указываются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посещений).</w:t>
      </w:r>
    </w:p>
    <w:bookmarkEnd w:id="29"/>
    <w:bookmarkStart w:name="z4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16 указываются сведения о сумме уплаченной платы за пользование лицензией на занятие деятельностью в сфере игорного бизнеса за отчетный период.</w:t>
      </w:r>
    </w:p>
    <w:bookmarkEnd w:id="30"/>
    <w:bookmarkStart w:name="z4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17 указываются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бизнесе", фактически размещенных в банке (-ах) по состоянию на день предоставления отчетности.</w:t>
      </w:r>
    </w:p>
    <w:bookmarkEnd w:id="31"/>
    <w:bookmarkStart w:name="z4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указываются сведения о сумме выплаченных выигрышей участникам азартных игр и (или) пари.</w:t>
      </w:r>
    </w:p>
    <w:bookmarkEnd w:id="32"/>
    <w:bookmarkStart w:name="z4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19 указываются сведения об общей сумме совершенных ставок за отчетный период.</w:t>
      </w:r>
    </w:p>
    <w:bookmarkEnd w:id="33"/>
    <w:bookmarkStart w:name="z4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20 указываются наименование и вид игорного оборудования.</w:t>
      </w:r>
    </w:p>
    <w:bookmarkEnd w:id="34"/>
    <w:bookmarkStart w:name="z4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21 указывается количество игорного оборудования.</w:t>
      </w:r>
    </w:p>
    <w:bookmarkEnd w:id="35"/>
    <w:bookmarkStart w:name="z4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22 указывается серийный и (или) инвентарный номер игорного оборудования.</w:t>
      </w:r>
    </w:p>
    <w:bookmarkEnd w:id="36"/>
    <w:bookmarkStart w:name="z4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23 указывается производитель игорного оборудования.</w:t>
      </w:r>
    </w:p>
    <w:bookmarkEnd w:id="37"/>
    <w:bookmarkStart w:name="z4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24 указывается техническое состояние игорного оборудования, игровых автоматов (новое/бывшее в употреблении).</w:t>
      </w:r>
    </w:p>
    <w:bookmarkEnd w:id="38"/>
    <w:bookmarkStart w:name="z4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25 указывается дата тестирования игорного оборудования (для новых игровых автоматов).</w:t>
      </w:r>
    </w:p>
    <w:bookmarkEnd w:id="39"/>
    <w:bookmarkStart w:name="z4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26 указывается установленный процент выигрыша, технологически заложенный в игровой автомат (для зала игровых автоматов).</w:t>
      </w:r>
    </w:p>
    <w:bookmarkEnd w:id="40"/>
    <w:bookmarkStart w:name="z4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графах 27, 28, 29, 30 указываются сведения о техническом состоянии видеозаписывающих систем, в том числе наименование видеозаписывающей системы, количество, техническое состояние, дата тестирования оборудования.</w:t>
      </w:r>
    </w:p>
    <w:bookmarkEnd w:id="41"/>
    <w:bookmarkStart w:name="z4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31 указываются данные о кассе (-ах), в том числе вид, количество, месторасположение кассы (адрес).</w:t>
      </w:r>
    </w:p>
    <w:bookmarkEnd w:id="42"/>
    <w:bookmarkStart w:name="z4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32 указываются сведения о постановке на регистрационный учет объектов налогообложения/касс (-ы) в органах государственных доходов.</w:t>
      </w:r>
    </w:p>
    <w:bookmarkEnd w:id="43"/>
    <w:bookmarkStart w:name="z4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графах 33, 34, 35 указываются сведения об изменении количества столов, замены оборудования, в том числе серийный или инвентарный номер заменившего оборудования, количество игровых столов, указанных при получении лицензии, информация об увеличении и сокращении количества игровых столов.</w:t>
      </w:r>
    </w:p>
    <w:bookmarkEnd w:id="44"/>
    <w:bookmarkStart w:name="z4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36 указываются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249</w:t>
            </w:r>
          </w:p>
        </w:tc>
      </w:tr>
    </w:tbl>
    <w:bookmarkStart w:name="z2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сбора и анализа отчетности,</w:t>
      </w:r>
      <w:r>
        <w:br/>
      </w:r>
      <w:r>
        <w:rPr>
          <w:rFonts w:ascii="Times New Roman"/>
          <w:b/>
          <w:i w:val="false"/>
          <w:color w:val="000000"/>
        </w:rPr>
        <w:t>представляемой организатором игорного бизнеса</w:t>
      </w:r>
    </w:p>
    <w:bookmarkEnd w:id="46"/>
    <w:bookmarkStart w:name="z2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"Глава 1. Общие положения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сбора и анализа отчетности, представляемой организатором игорного бизнеса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 и определяют порядок сбора и анализа отчетности, представляемой организаторами игорного бизнеса.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26.04.2023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сбора и анализа отчетности является осуществление мониторинга деятельности субъектов игорного бизнеса на соответствие законодательству об игорном бизнесе.</w:t>
      </w:r>
    </w:p>
    <w:bookmarkEnd w:id="49"/>
    <w:bookmarkStart w:name="z2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сбора отчетности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Сбор отчетности осуществляется посредством предоставления организаторами игорного бизнеса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игорного бизнеса (далее – уполномоченный орган) отчетности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отчетность). </w:t>
      </w:r>
    </w:p>
    <w:bookmarkEnd w:id="51"/>
    <w:bookmarkStart w:name="z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представляется в бумажном или электронном виде ежеквартально не позднее 10 числа месяца, следующего за отчетным периодом.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01.10.2024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содержит следующую информацию:</w:t>
      </w:r>
    </w:p>
    <w:bookmarkEnd w:id="53"/>
    <w:bookmarkStart w:name="z4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бизнес идентификационном номере организатора игорного бизнеса;</w:t>
      </w:r>
    </w:p>
    <w:bookmarkEnd w:id="54"/>
    <w:bookmarkStart w:name="z4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организатора игорного бизнеса;</w:t>
      </w:r>
    </w:p>
    <w:bookmarkEnd w:id="55"/>
    <w:bookmarkStart w:name="z4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деятельности;</w:t>
      </w:r>
    </w:p>
    <w:bookmarkEnd w:id="56"/>
    <w:bookmarkStart w:name="z4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юридический адрес;</w:t>
      </w:r>
    </w:p>
    <w:bookmarkEnd w:id="57"/>
    <w:bookmarkStart w:name="z4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численности работников организатора игорного бизнеса на начало отчетного периода;</w:t>
      </w:r>
    </w:p>
    <w:bookmarkEnd w:id="58"/>
    <w:bookmarkStart w:name="z4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численности работников организатора игорного бизнеса на конец отчетного периода;</w:t>
      </w:r>
    </w:p>
    <w:bookmarkEnd w:id="59"/>
    <w:bookmarkStart w:name="z4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количестве участников азартных игр и (или) пари (резиденты) на начало отчетного периода;</w:t>
      </w:r>
    </w:p>
    <w:bookmarkEnd w:id="60"/>
    <w:bookmarkStart w:name="z4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количестве участников азартных игр и (или) пари (нерезиденты) на начало отчетного периода;</w:t>
      </w:r>
    </w:p>
    <w:bookmarkEnd w:id="61"/>
    <w:bookmarkStart w:name="z4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количестве участников азартных игр и (или) пари (резиденты) на конец периода;</w:t>
      </w:r>
    </w:p>
    <w:bookmarkEnd w:id="62"/>
    <w:bookmarkStart w:name="z4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количестве участников азартных игр и (или) пари (нерезиденты) на конец периода;</w:t>
      </w:r>
    </w:p>
    <w:bookmarkEnd w:id="63"/>
    <w:bookmarkStart w:name="z4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сведения о количестве отказов в установлении деловых отношений с участниками по основаниям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64"/>
    <w:bookmarkStart w:name="z4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количестве посещений игорных заведений одними и теми же участниками азартных игр в отчетный период (менее 10 посещений, более 10 посещений, более 50 посещений);</w:t>
      </w:r>
    </w:p>
    <w:bookmarkEnd w:id="65"/>
    <w:bookmarkStart w:name="z4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сумме уплаченной платы за пользование лицензией на занятие деятельностью в сфере игорного бизнеса за отчетный период;</w:t>
      </w:r>
    </w:p>
    <w:bookmarkEnd w:id="66"/>
    <w:bookmarkStart w:name="z4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сведения о сумме обеспечения на каждую лицензию в виде обязательных резервов,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игорном бизнесе";</w:t>
      </w:r>
    </w:p>
    <w:bookmarkEnd w:id="67"/>
    <w:bookmarkStart w:name="z4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суммах выплаченных выигрышей участникам азартных игр и (или) пари;</w:t>
      </w:r>
    </w:p>
    <w:bookmarkEnd w:id="68"/>
    <w:bookmarkStart w:name="z4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об общей сумме совершенных ставок за отчетный период;</w:t>
      </w:r>
    </w:p>
    <w:bookmarkEnd w:id="69"/>
    <w:bookmarkStart w:name="z4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и вид игорного оборудования;</w:t>
      </w:r>
    </w:p>
    <w:bookmarkEnd w:id="70"/>
    <w:bookmarkStart w:name="z4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количество игорного оборудования;</w:t>
      </w:r>
    </w:p>
    <w:bookmarkEnd w:id="71"/>
    <w:bookmarkStart w:name="z4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серийном и (или) инвентарном номере игорного оборудования;</w:t>
      </w:r>
    </w:p>
    <w:bookmarkEnd w:id="72"/>
    <w:bookmarkStart w:name="z4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производителе игорного оборудования;</w:t>
      </w:r>
    </w:p>
    <w:bookmarkEnd w:id="73"/>
    <w:bookmarkStart w:name="z4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техническом состоянии игорного оборудования, игровых автоматов;</w:t>
      </w:r>
    </w:p>
    <w:bookmarkEnd w:id="74"/>
    <w:bookmarkStart w:name="z4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об установленном проценте выигрыша, технологически заложенном в игровой автомат;</w:t>
      </w:r>
    </w:p>
    <w:bookmarkEnd w:id="75"/>
    <w:bookmarkStart w:name="z4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 о техническом состоянии видеозаписывающих систем, в том числе о наименовании видеозаписывающей системы, количестве, дате тестирования оборудования;</w:t>
      </w:r>
    </w:p>
    <w:bookmarkEnd w:id="76"/>
    <w:bookmarkStart w:name="z4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 о кассе (-ах), в том числе о виде, количестве и месторасположении кассы (адрес);</w:t>
      </w:r>
    </w:p>
    <w:bookmarkEnd w:id="77"/>
    <w:bookmarkStart w:name="z4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 о постановке на регистрационный учет объектов налогообложения/касс (-ы) в органах государственных доходов;</w:t>
      </w:r>
    </w:p>
    <w:bookmarkEnd w:id="78"/>
    <w:bookmarkStart w:name="z4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 об изменении количества столов, замены оборудования, в том числе серийный или инвентарный номер заменившего оборудования;</w:t>
      </w:r>
    </w:p>
    <w:bookmarkEnd w:id="79"/>
    <w:bookmarkStart w:name="z4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изменении количества столов, замены оборудования, в том числе о количестве игровых столов, указанных при получении лицензии;</w:t>
      </w:r>
    </w:p>
    <w:bookmarkEnd w:id="80"/>
    <w:bookmarkStart w:name="z4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изменении количества столов, замены оборудования, в том числе информация об увеличении и сокращении количества игровых столов;</w:t>
      </w:r>
    </w:p>
    <w:bookmarkEnd w:id="81"/>
    <w:bookmarkStart w:name="z4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 бенефициарных собственниках в составе учредителей, руководителей организатора игорного бизнеса и о первых руководителях организатора игорного бизнеса.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туризма и спорта Республики Казахстан от 15.12.2025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Отчетность заверяется подписью руководителя организатора игорного бизнеса, либо лица его заменяющего (с приложением копии приказа о возложении обязанностей), а также печатью организации (при наличии) и направляется в уполномоченный орган. </w:t>
      </w:r>
    </w:p>
    <w:bookmarkEnd w:id="83"/>
    <w:bookmarkStart w:name="z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Представленная отчетность регистрируется в уполномоченном органе и рассматривается соответствующим его структурным подразделением.</w:t>
      </w:r>
    </w:p>
    <w:bookmarkEnd w:id="84"/>
    <w:bookmarkStart w:name="z2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анализа отчетности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культуры и спорта РК от 08.07.2021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на основании представленной отчетности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на наличие и полноту всех необходимых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представленной отчетности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предъявляемым к организаторам игорного бизнеса;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сведений о не предоставлении или не полном предоставлении отчетности.</w:t>
      </w:r>
    </w:p>
    <w:bookmarkStart w:name="z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анализа используются при подготовке предложений по совершенствованию государственной политики в области игорного бизнеса и проведении профилактического контроля без посещения субъекта (объекта) контроля.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туризма и спорта РК от 26.12.2023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путем сбора, обобщения и анализа отчетности формирует сведения о соблюдении квалификационных требований организаторами игорного бизнеса.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